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Sales Report</w:t>
      </w:r>
    </w:p>
    <w:p>
      <w:r>
        <w:t>Below is the quarterly revenue chart:</w:t>
      </w:r>
    </w:p>
    <w:p>
      <w:r>
        <w:drawing>
          <wp:inline xmlns:a="http://schemas.openxmlformats.org/drawingml/2006/main" xmlns:pic="http://schemas.openxmlformats.org/drawingml/2006/picture">
            <wp:extent cx="3657600" cy="27432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Q1 had the highest revenue.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