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400"/>
      </w:pPr>
    </w:p>
    <w:p>
      <w:pPr>
        <w:pStyle w:val="Title"/>
      </w:pPr>
      <w:r>
        <w:t xml:space="preserve">EnvelopeCLI</w:t>
      </w:r>
    </w:p>
    <w:p>
      <w:pPr>
        <w:spacing w:after="480"/>
        <w:jc w:val="center"/>
      </w:pPr>
      <w:r>
        <w:rPr>
          <w:color w:val="666666"/>
          <w:sz w:val="32"/>
          <w:szCs w:val="32"/>
        </w:rPr>
        <w:t xml:space="preserve">Product Requirements Document</w:t>
      </w:r>
    </w:p>
    <w:p>
      <w:pPr>
        <w:spacing w:after="120"/>
        <w:jc w:val="center"/>
      </w:pPr>
      <w:r>
        <w:rPr>
          <w:i/>
          <w:iCs/>
          <w:sz w:val="24"/>
          <w:szCs w:val="24"/>
        </w:rPr>
        <w:t xml:space="preserve">Terminal-Based Zero-Based Budgeting Application</w:t>
      </w:r>
    </w:p>
    <w:p>
      <w:pPr>
        <w:spacing w:before="960" w:after="120"/>
        <w:jc w:val="center"/>
      </w:pPr>
      <w:r>
        <w:rPr>
          <w:b/>
          <w:bCs/>
          <w:sz w:val="22"/>
          <w:szCs w:val="22"/>
        </w:rPr>
        <w:t xml:space="preserve">Version 1.0 — MVP</w:t>
      </w:r>
    </w:p>
    <w:p>
      <w:pPr>
        <w:jc w:val="center"/>
      </w:pPr>
      <w:r>
        <w:rPr>
          <w:color w:val="666666"/>
          <w:sz w:val="22"/>
          <w:szCs w:val="22"/>
        </w:rPr>
        <w:t xml:space="preserve">November 2025</w:t>
      </w:r>
    </w:p>
    <w:p>
      <w:r>
        <w:br w:type="page"/>
      </w:r>
    </w:p>
    <w:p>
      <w:pPr>
        <w:pStyle w:val="Heading1"/>
      </w:pPr>
      <w:r>
        <w:t xml:space="preserve">Document Information</w:t>
      </w:r>
    </w:p>
    <w:tbl>
      <w:tblPr>
        <w:tblW w:type="auto" w:w="10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CCCCC" w:sz="1"/>
              <w:left w:val="single" w:color="CCCCCC" w:sz="1"/>
              <w:bottom w:val="single" w:color="CCCCCC" w:sz="1"/>
              <w:right w:val="single" w:color="CCCCCC" w:sz="1"/>
            </w:tcBorders>
            <w:shd w:fill="E8F4F8" w:val="clear"/>
          </w:tcPr>
          <w:p>
            <w:pPr>
              <w:jc w:val="left"/>
            </w:pPr>
            <w:r>
              <w:rPr>
                <w:b/>
                <w:bCs/>
                <w:sz w:val="22"/>
                <w:szCs w:val="22"/>
              </w:rPr>
              <w:t xml:space="preserve">Document Title</w:t>
            </w:r>
          </w:p>
        </w:tc>
        <w:tc>
          <w:tcPr>
            <w:tcW w:type="dxa" w:w="636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EnvelopeCLI MVP Product Requirements Document</w:t>
            </w:r>
          </w:p>
        </w:tc>
      </w:tr>
      <w:tr>
        <w:tc>
          <w:tcPr>
            <w:tcW w:type="dxa" w:w="3000"/>
            <w:tcBorders>
              <w:top w:val="single" w:color="CCCCCC" w:sz="1"/>
              <w:left w:val="single" w:color="CCCCCC" w:sz="1"/>
              <w:bottom w:val="single" w:color="CCCCCC" w:sz="1"/>
              <w:right w:val="single" w:color="CCCCCC" w:sz="1"/>
            </w:tcBorders>
            <w:shd w:fill="E8F4F8" w:val="clear"/>
          </w:tcPr>
          <w:p>
            <w:pPr>
              <w:jc w:val="left"/>
            </w:pPr>
            <w:r>
              <w:rPr>
                <w:b/>
                <w:bCs/>
                <w:sz w:val="22"/>
                <w:szCs w:val="22"/>
              </w:rPr>
              <w:t xml:space="preserve">Version</w:t>
            </w:r>
          </w:p>
        </w:tc>
        <w:tc>
          <w:tcPr>
            <w:tcW w:type="dxa" w:w="636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1.0</w:t>
            </w:r>
          </w:p>
        </w:tc>
      </w:tr>
      <w:tr>
        <w:tc>
          <w:tcPr>
            <w:tcW w:type="dxa" w:w="3000"/>
            <w:tcBorders>
              <w:top w:val="single" w:color="CCCCCC" w:sz="1"/>
              <w:left w:val="single" w:color="CCCCCC" w:sz="1"/>
              <w:bottom w:val="single" w:color="CCCCCC" w:sz="1"/>
              <w:right w:val="single" w:color="CCCCCC" w:sz="1"/>
            </w:tcBorders>
            <w:shd w:fill="E8F4F8" w:val="clear"/>
          </w:tcPr>
          <w:p>
            <w:pPr>
              <w:jc w:val="left"/>
            </w:pPr>
            <w:r>
              <w:rPr>
                <w:b/>
                <w:bCs/>
                <w:sz w:val="22"/>
                <w:szCs w:val="22"/>
              </w:rPr>
              <w:t xml:space="preserve">Status</w:t>
            </w:r>
          </w:p>
        </w:tc>
        <w:tc>
          <w:tcPr>
            <w:tcW w:type="dxa" w:w="636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Draft</w:t>
            </w:r>
          </w:p>
        </w:tc>
      </w:tr>
      <w:tr>
        <w:tc>
          <w:tcPr>
            <w:tcW w:type="dxa" w:w="3000"/>
            <w:tcBorders>
              <w:top w:val="single" w:color="CCCCCC" w:sz="1"/>
              <w:left w:val="single" w:color="CCCCCC" w:sz="1"/>
              <w:bottom w:val="single" w:color="CCCCCC" w:sz="1"/>
              <w:right w:val="single" w:color="CCCCCC" w:sz="1"/>
            </w:tcBorders>
            <w:shd w:fill="E8F4F8" w:val="clear"/>
          </w:tcPr>
          <w:p>
            <w:pPr>
              <w:jc w:val="left"/>
            </w:pPr>
            <w:r>
              <w:rPr>
                <w:b/>
                <w:bCs/>
                <w:sz w:val="22"/>
                <w:szCs w:val="22"/>
              </w:rPr>
              <w:t xml:space="preserve">Target Release</w:t>
            </w:r>
          </w:p>
        </w:tc>
        <w:tc>
          <w:tcPr>
            <w:tcW w:type="dxa" w:w="636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MVP — Q1 2026</w:t>
            </w:r>
          </w:p>
        </w:tc>
      </w:tr>
    </w:tbl>
    <w:p>
      <w:pPr>
        <w:spacing w:before="360"/>
      </w:pPr>
    </w:p>
    <w:p>
      <w:pPr>
        <w:pStyle w:val="Heading1"/>
      </w:pPr>
      <w:r>
        <w:t xml:space="preserve">1. Executive Summary</w:t>
      </w:r>
    </w:p>
    <w:p>
      <w:pPr>
        <w:spacing w:after="120"/>
      </w:pPr>
      <w:r>
        <w:rPr>
          <w:b w:val="false"/>
          <w:bCs w:val="false"/>
          <w:i w:val="false"/>
          <w:iCs w:val="false"/>
          <w:sz w:val="22"/>
          <w:szCs w:val="22"/>
        </w:rPr>
        <w:t xml:space="preserve">EnvelopeCLI is a terminal-based personal finance application implementing zero-based (envelope) budgeting methodology. Designed for power users seeking efficiency and data ownership, it provides a keyboard-driven interface that works entirely offline with locally-stored, human-readable data files.</w:t>
      </w:r>
    </w:p>
    <w:p>
      <w:pPr>
        <w:spacing w:after="120"/>
      </w:pPr>
      <w:r>
        <w:rPr>
          <w:b w:val="false"/>
          <w:bCs w:val="false"/>
          <w:i w:val="false"/>
          <w:iCs w:val="false"/>
          <w:sz w:val="22"/>
          <w:szCs w:val="22"/>
        </w:rPr>
        <w:t xml:space="preserve">This MVP focuses on validating the core budgeting workflow: assigning every dollar a job, tracking transactions against budget categories, and providing clear visibility into budget vs. actual spending. The application targets users migrating from YNAB who prefer terminal workflows and want full control over their financial data.</w:t>
      </w:r>
    </w:p>
    <w:p>
      <w:pPr>
        <w:pStyle w:val="Heading1"/>
      </w:pPr>
      <w:r>
        <w:t xml:space="preserve">2. Problem Statement</w:t>
      </w:r>
    </w:p>
    <w:p>
      <w:pPr>
        <w:pStyle w:val="Heading2"/>
      </w:pPr>
      <w:r>
        <w:t xml:space="preserve">2.1 Current Market Gap</w:t>
      </w:r>
    </w:p>
    <w:p>
      <w:pPr>
        <w:spacing w:after="120"/>
      </w:pPr>
      <w:r>
        <w:rPr>
          <w:b w:val="false"/>
          <w:bCs w:val="false"/>
          <w:i w:val="false"/>
          <w:iCs w:val="false"/>
          <w:sz w:val="22"/>
          <w:szCs w:val="22"/>
        </w:rPr>
        <w:t xml:space="preserve">Existing personal finance applications fall into two categories: cloud-based SaaS products (like YNAB) that require subscriptions and store data externally, or developer-focused tools (like ledger-cli) with steep learning curves. There is no solution that combines the accessibility of consumer budgeting apps with the efficiency of terminal workflows and the privacy of local-first data storage.</w:t>
      </w:r>
    </w:p>
    <w:p>
      <w:pPr>
        <w:pStyle w:val="Heading2"/>
      </w:pPr>
      <w:r>
        <w:t xml:space="preserve">2.2 Target User Pain Points</w:t>
      </w:r>
    </w:p>
    <w:p>
      <w:pPr>
        <w:pStyle w:val="ListParagraph"/>
        <w:numPr>
          <w:ilvl w:val="0"/>
          <w:numId w:val="2"/>
        </w:numPr>
      </w:pPr>
      <w:r>
        <w:rPr>
          <w:b/>
          <w:bCs/>
        </w:rPr>
        <w:t xml:space="preserve">Subscription fatigue: </w:t>
      </w:r>
      <w:r>
        <w:t xml:space="preserve">Monthly fees for budgeting software add up</w:t>
      </w:r>
    </w:p>
    <w:p>
      <w:pPr>
        <w:pStyle w:val="ListParagraph"/>
        <w:numPr>
          <w:ilvl w:val="0"/>
          <w:numId w:val="2"/>
        </w:numPr>
      </w:pPr>
      <w:r>
        <w:rPr>
          <w:b/>
          <w:bCs/>
        </w:rPr>
        <w:t xml:space="preserve">Data sovereignty concerns: </w:t>
      </w:r>
      <w:r>
        <w:t xml:space="preserve">Financial data stored on third-party servers</w:t>
      </w:r>
    </w:p>
    <w:p>
      <w:pPr>
        <w:pStyle w:val="ListParagraph"/>
        <w:numPr>
          <w:ilvl w:val="0"/>
          <w:numId w:val="2"/>
        </w:numPr>
      </w:pPr>
      <w:r>
        <w:rPr>
          <w:b/>
          <w:bCs/>
        </w:rPr>
        <w:t xml:space="preserve">Interface inefficiency: </w:t>
      </w:r>
      <w:r>
        <w:t xml:space="preserve">GUI applications are slower for repetitive tasks</w:t>
      </w:r>
    </w:p>
    <w:p>
      <w:pPr>
        <w:pStyle w:val="ListParagraph"/>
        <w:numPr>
          <w:ilvl w:val="0"/>
          <w:numId w:val="2"/>
        </w:numPr>
      </w:pPr>
      <w:r>
        <w:rPr>
          <w:b/>
          <w:bCs/>
        </w:rPr>
        <w:t xml:space="preserve">Vendor lock-in: </w:t>
      </w:r>
      <w:r>
        <w:t xml:space="preserve">Proprietary data formats make migration difficult</w:t>
      </w:r>
    </w:p>
    <w:p>
      <w:pPr>
        <w:pStyle w:val="ListParagraph"/>
        <w:numPr>
          <w:ilvl w:val="0"/>
          <w:numId w:val="2"/>
        </w:numPr>
        <w:spacing w:after="200"/>
      </w:pPr>
      <w:r>
        <w:rPr>
          <w:b/>
          <w:bCs/>
        </w:rPr>
        <w:t xml:space="preserve">Internet dependency: </w:t>
      </w:r>
      <w:r>
        <w:t xml:space="preserve">Cloud-based apps require connectivity</w:t>
      </w:r>
    </w:p>
    <w:p>
      <w:pPr>
        <w:pStyle w:val="Heading1"/>
      </w:pPr>
      <w:r>
        <w:t xml:space="preserve">3. Target Users</w:t>
      </w:r>
    </w:p>
    <w:p>
      <w:pPr>
        <w:pStyle w:val="Heading2"/>
      </w:pPr>
      <w:r>
        <w:t xml:space="preserve">3.1 Primary Persona: The Privacy-Conscious Power User</w:t>
      </w:r>
    </w:p>
    <w:p>
      <w:pPr>
        <w:spacing w:after="120"/>
      </w:pPr>
      <w:r>
        <w:rPr>
          <w:b w:val="false"/>
          <w:bCs w:val="false"/>
          <w:i w:val="false"/>
          <w:iCs w:val="false"/>
          <w:sz w:val="22"/>
          <w:szCs w:val="22"/>
        </w:rPr>
        <w:t xml:space="preserve">Technically comfortable individuals (not necessarily developers) who prefer keyboard-driven workflows. They value data ownership, work efficiently in terminal environments, and are willing to invest time learning a tool that respects their preferences. Many are current or former YNAB users frustrated with subscription costs or cloud dependency.</w:t>
      </w:r>
    </w:p>
    <w:p>
      <w:pPr>
        <w:pStyle w:val="Heading2"/>
      </w:pPr>
      <w:r>
        <w:t xml:space="preserve">3.2 User Characteristics</w:t>
      </w:r>
    </w:p>
    <w:p>
      <w:pPr>
        <w:pStyle w:val="ListParagraph"/>
        <w:numPr>
          <w:ilvl w:val="0"/>
          <w:numId w:val="2"/>
        </w:numPr>
      </w:pPr>
      <w:r>
        <w:t xml:space="preserve">Comfortable with command-line interfaces (uses tools like git, vim, or package managers)</w:t>
      </w:r>
    </w:p>
    <w:p>
      <w:pPr>
        <w:pStyle w:val="ListParagraph"/>
        <w:numPr>
          <w:ilvl w:val="0"/>
          <w:numId w:val="2"/>
        </w:numPr>
      </w:pPr>
      <w:r>
        <w:t xml:space="preserve">Values efficiency over visual polish</w:t>
      </w:r>
    </w:p>
    <w:p>
      <w:pPr>
        <w:pStyle w:val="ListParagraph"/>
        <w:numPr>
          <w:ilvl w:val="0"/>
          <w:numId w:val="2"/>
        </w:numPr>
      </w:pPr>
      <w:r>
        <w:t xml:space="preserve">Prioritizes privacy and local data storage</w:t>
      </w:r>
    </w:p>
    <w:p>
      <w:pPr>
        <w:pStyle w:val="ListParagraph"/>
        <w:numPr>
          <w:ilvl w:val="0"/>
          <w:numId w:val="2"/>
        </w:numPr>
      </w:pPr>
      <w:r>
        <w:t xml:space="preserve">Already practices or wants to practice zero-based budgeting</w:t>
      </w:r>
    </w:p>
    <w:p>
      <w:pPr>
        <w:pStyle w:val="ListParagraph"/>
        <w:numPr>
          <w:ilvl w:val="0"/>
          <w:numId w:val="2"/>
        </w:numPr>
        <w:spacing w:after="200"/>
      </w:pPr>
      <w:r>
        <w:t xml:space="preserve">Comfortable with text-based data formats (JSON, YAML, plain text)</w:t>
      </w:r>
    </w:p>
    <w:p>
      <w:pPr>
        <w:pStyle w:val="Heading1"/>
      </w:pPr>
      <w:r>
        <w:t xml:space="preserve">4. Goals &amp; Success Metrics</w:t>
      </w:r>
    </w:p>
    <w:p>
      <w:pPr>
        <w:pStyle w:val="Heading2"/>
      </w:pPr>
      <w:r>
        <w:t xml:space="preserve">4.1 Product Goals</w:t>
      </w:r>
    </w:p>
    <w:p>
      <w:pPr>
        <w:pStyle w:val="ListParagraph"/>
        <w:numPr>
          <w:ilvl w:val="0"/>
          <w:numId w:val="2"/>
        </w:numPr>
      </w:pPr>
      <w:r>
        <w:t xml:space="preserve">Deliver a functional zero-based budgeting workflow in a terminal interface</w:t>
      </w:r>
    </w:p>
    <w:p>
      <w:pPr>
        <w:pStyle w:val="ListParagraph"/>
        <w:numPr>
          <w:ilvl w:val="0"/>
          <w:numId w:val="2"/>
        </w:numPr>
      </w:pPr>
      <w:r>
        <w:t xml:space="preserve">Achieve feature parity with YNAB's core budgeting loop (assign, spend, reconcile)</w:t>
      </w:r>
    </w:p>
    <w:p>
      <w:pPr>
        <w:pStyle w:val="ListParagraph"/>
        <w:numPr>
          <w:ilvl w:val="0"/>
          <w:numId w:val="2"/>
        </w:numPr>
      </w:pPr>
      <w:r>
        <w:t xml:space="preserve">Ensure data portability and human-readable storage</w:t>
      </w:r>
    </w:p>
    <w:p>
      <w:pPr>
        <w:pStyle w:val="ListParagraph"/>
        <w:numPr>
          <w:ilvl w:val="0"/>
          <w:numId w:val="2"/>
        </w:numPr>
        <w:spacing w:after="200"/>
      </w:pPr>
      <w:r>
        <w:t xml:space="preserve">Provide fast, responsive interactions suitable for daily use</w:t>
      </w:r>
    </w:p>
    <w:p>
      <w:pPr>
        <w:pStyle w:val="Heading2"/>
      </w:pPr>
      <w:r>
        <w:t xml:space="preserve">4.2 MVP Success Metrics</w:t>
      </w:r>
    </w:p>
    <w:p>
      <w:pPr>
        <w:pStyle w:val="ListParagraph"/>
        <w:numPr>
          <w:ilvl w:val="0"/>
          <w:numId w:val="3"/>
        </w:numPr>
      </w:pPr>
      <w:r>
        <w:rPr>
          <w:b/>
          <w:bCs/>
        </w:rPr>
        <w:t xml:space="preserve">Startup time: </w:t>
      </w:r>
      <w:r>
        <w:t xml:space="preserve">Application launches and is interactive within 500ms</w:t>
      </w:r>
    </w:p>
    <w:p>
      <w:pPr>
        <w:pStyle w:val="ListParagraph"/>
        <w:numPr>
          <w:ilvl w:val="0"/>
          <w:numId w:val="3"/>
        </w:numPr>
      </w:pPr>
      <w:r>
        <w:rPr>
          <w:b/>
          <w:bCs/>
        </w:rPr>
        <w:t xml:space="preserve">Core workflow completion: </w:t>
      </w:r>
      <w:r>
        <w:t xml:space="preserve">User can complete full monthly budget cycle (create budget, add transactions, reconcile) within 10 minutes on first use</w:t>
      </w:r>
    </w:p>
    <w:p>
      <w:pPr>
        <w:pStyle w:val="ListParagraph"/>
        <w:numPr>
          <w:ilvl w:val="0"/>
          <w:numId w:val="3"/>
        </w:numPr>
      </w:pPr>
      <w:r>
        <w:rPr>
          <w:b/>
          <w:bCs/>
        </w:rPr>
        <w:t xml:space="preserve">Data integrity: </w:t>
      </w:r>
      <w:r>
        <w:t xml:space="preserve">Zero data loss during normal operations; all modifications logged</w:t>
      </w:r>
    </w:p>
    <w:p>
      <w:pPr>
        <w:pStyle w:val="ListParagraph"/>
        <w:numPr>
          <w:ilvl w:val="0"/>
          <w:numId w:val="3"/>
        </w:numPr>
      </w:pPr>
      <w:r>
        <w:rPr>
          <w:b/>
          <w:bCs/>
        </w:rPr>
        <w:t xml:space="preserve">Cross-platform: </w:t>
      </w:r>
      <w:r>
        <w:t xml:space="preserve">Verified functionality on Linux, macOS, and Windows</w:t>
      </w:r>
    </w:p>
    <w:p>
      <w:pPr>
        <w:pStyle w:val="ListParagraph"/>
        <w:numPr>
          <w:ilvl w:val="0"/>
          <w:numId w:val="3"/>
        </w:numPr>
        <w:spacing w:after="200"/>
      </w:pPr>
      <w:r>
        <w:rPr>
          <w:b/>
          <w:bCs/>
        </w:rPr>
        <w:t xml:space="preserve">Import success: </w:t>
      </w:r>
      <w:r>
        <w:t xml:space="preserve">95%+ success rate importing standard bank CSV exports</w:t>
      </w:r>
    </w:p>
    <w:p>
      <w:pPr>
        <w:pStyle w:val="Heading1"/>
      </w:pPr>
      <w:r>
        <w:t xml:space="preserve">5. Scope Definition</w:t>
      </w:r>
    </w:p>
    <w:p>
      <w:pPr>
        <w:pStyle w:val="Heading2"/>
      </w:pPr>
      <w:r>
        <w:t xml:space="preserve">5.1 In Scope (MVP)</w:t>
      </w:r>
    </w:p>
    <w:tbl>
      <w:tblPr>
        <w:tblW w:type="auto" w:w="100"/>
        <w:tblBorders>
          <w:top w:val="single" w:color="auto" w:sz="4"/>
          <w:left w:val="single" w:color="auto" w:sz="4"/>
          <w:bottom w:val="single" w:color="auto" w:sz="4"/>
          <w:right w:val="single" w:color="auto" w:sz="4"/>
          <w:insideH w:val="single" w:color="auto" w:sz="4"/>
          <w:insideV w:val="single" w:color="auto" w:sz="4"/>
        </w:tblBorders>
      </w:tblPr>
      <w:tblGrid>
        <w:gridCol w:w="3120"/>
        <w:gridCol w:w="6240"/>
      </w:tblGrid>
      <w:tr>
        <w:tc>
          <w:tcPr>
            <w:tcW w:type="dxa" w:w="3120"/>
            <w:tcBorders>
              <w:top w:val="single" w:color="CCCCCC" w:sz="1"/>
              <w:left w:val="single" w:color="CCCCCC" w:sz="1"/>
              <w:bottom w:val="single" w:color="CCCCCC" w:sz="1"/>
              <w:right w:val="single" w:color="CCCCCC" w:sz="1"/>
            </w:tcBorders>
            <w:shd w:fill="E8F4F8" w:val="clear"/>
          </w:tcPr>
          <w:p>
            <w:pPr>
              <w:jc w:val="left"/>
            </w:pPr>
            <w:r>
              <w:rPr>
                <w:b/>
                <w:bCs/>
                <w:sz w:val="22"/>
                <w:szCs w:val="22"/>
              </w:rPr>
              <w:t xml:space="preserve">Category</w:t>
            </w:r>
          </w:p>
        </w:tc>
        <w:tc>
          <w:tcPr>
            <w:tcW w:type="dxa" w:w="6240"/>
            <w:tcBorders>
              <w:top w:val="single" w:color="CCCCCC" w:sz="1"/>
              <w:left w:val="single" w:color="CCCCCC" w:sz="1"/>
              <w:bottom w:val="single" w:color="CCCCCC" w:sz="1"/>
              <w:right w:val="single" w:color="CCCCCC" w:sz="1"/>
            </w:tcBorders>
            <w:shd w:fill="E8F4F8" w:val="clear"/>
          </w:tcPr>
          <w:p>
            <w:pPr>
              <w:jc w:val="left"/>
            </w:pPr>
            <w:r>
              <w:rPr>
                <w:b/>
                <w:bCs/>
                <w:sz w:val="22"/>
                <w:szCs w:val="22"/>
              </w:rPr>
              <w:t xml:space="preserve">Features</w:t>
            </w:r>
          </w:p>
        </w:tc>
      </w:tr>
      <w:tr>
        <w:tc>
          <w:tcPr>
            <w:tcW w:type="dxa" w:w="3120"/>
            <w:tcBorders>
              <w:top w:val="single" w:color="CCCCCC" w:sz="1"/>
              <w:left w:val="single" w:color="CCCCCC" w:sz="1"/>
              <w:bottom w:val="single" w:color="CCCCCC" w:sz="1"/>
              <w:right w:val="single" w:color="CCCCCC" w:sz="1"/>
            </w:tcBorders>
          </w:tcPr>
          <w:p>
            <w:pPr>
              <w:jc w:val="left"/>
            </w:pPr>
            <w:r>
              <w:rPr>
                <w:b/>
                <w:bCs/>
                <w:sz w:val="22"/>
                <w:szCs w:val="22"/>
              </w:rPr>
              <w:t xml:space="preserve">Account Management</w:t>
            </w:r>
          </w:p>
        </w:tc>
        <w:tc>
          <w:tcPr>
            <w:tcW w:type="dxa" w:w="624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Create/edit/delete checking and savings accounts; view balances</w:t>
            </w:r>
          </w:p>
        </w:tc>
      </w:tr>
      <w:tr>
        <w:tc>
          <w:tcPr>
            <w:tcW w:type="dxa" w:w="3120"/>
            <w:tcBorders>
              <w:top w:val="single" w:color="CCCCCC" w:sz="1"/>
              <w:left w:val="single" w:color="CCCCCC" w:sz="1"/>
              <w:bottom w:val="single" w:color="CCCCCC" w:sz="1"/>
              <w:right w:val="single" w:color="CCCCCC" w:sz="1"/>
            </w:tcBorders>
          </w:tcPr>
          <w:p>
            <w:pPr>
              <w:jc w:val="left"/>
            </w:pPr>
            <w:r>
              <w:rPr>
                <w:b/>
                <w:bCs/>
                <w:sz w:val="22"/>
                <w:szCs w:val="22"/>
              </w:rPr>
              <w:t xml:space="preserve">Budget Management</w:t>
            </w:r>
          </w:p>
        </w:tc>
        <w:tc>
          <w:tcPr>
            <w:tcW w:type="dxa" w:w="624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Create envelope categories; assign funds to categories; flexible budget periods (weekly, bi-weekly, monthly, custom)</w:t>
            </w:r>
          </w:p>
        </w:tc>
      </w:tr>
      <w:tr>
        <w:tc>
          <w:tcPr>
            <w:tcW w:type="dxa" w:w="3120"/>
            <w:tcBorders>
              <w:top w:val="single" w:color="CCCCCC" w:sz="1"/>
              <w:left w:val="single" w:color="CCCCCC" w:sz="1"/>
              <w:bottom w:val="single" w:color="CCCCCC" w:sz="1"/>
              <w:right w:val="single" w:color="CCCCCC" w:sz="1"/>
            </w:tcBorders>
          </w:tcPr>
          <w:p>
            <w:pPr>
              <w:jc w:val="left"/>
            </w:pPr>
            <w:r>
              <w:rPr>
                <w:b/>
                <w:bCs/>
                <w:sz w:val="22"/>
                <w:szCs w:val="22"/>
              </w:rPr>
              <w:t xml:space="preserve">Transactions</w:t>
            </w:r>
          </w:p>
        </w:tc>
        <w:tc>
          <w:tcPr>
            <w:tcW w:type="dxa" w:w="624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Manual entry; CSV import; categorization; split transactions; transfers between accounts</w:t>
            </w:r>
          </w:p>
        </w:tc>
      </w:tr>
      <w:tr>
        <w:tc>
          <w:tcPr>
            <w:tcW w:type="dxa" w:w="3120"/>
            <w:tcBorders>
              <w:top w:val="single" w:color="CCCCCC" w:sz="1"/>
              <w:left w:val="single" w:color="CCCCCC" w:sz="1"/>
              <w:bottom w:val="single" w:color="CCCCCC" w:sz="1"/>
              <w:right w:val="single" w:color="CCCCCC" w:sz="1"/>
            </w:tcBorders>
          </w:tcPr>
          <w:p>
            <w:pPr>
              <w:jc w:val="left"/>
            </w:pPr>
            <w:r>
              <w:rPr>
                <w:b/>
                <w:bCs/>
                <w:sz w:val="22"/>
                <w:szCs w:val="22"/>
              </w:rPr>
              <w:t xml:space="preserve">Reporting</w:t>
            </w:r>
          </w:p>
        </w:tc>
        <w:tc>
          <w:tcPr>
            <w:tcW w:type="dxa" w:w="624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Budget vs. actual; spending by category; account balances; available to budget</w:t>
            </w:r>
          </w:p>
        </w:tc>
      </w:tr>
      <w:tr>
        <w:tc>
          <w:tcPr>
            <w:tcW w:type="dxa" w:w="3120"/>
            <w:tcBorders>
              <w:top w:val="single" w:color="CCCCCC" w:sz="1"/>
              <w:left w:val="single" w:color="CCCCCC" w:sz="1"/>
              <w:bottom w:val="single" w:color="CCCCCC" w:sz="1"/>
              <w:right w:val="single" w:color="CCCCCC" w:sz="1"/>
            </w:tcBorders>
          </w:tcPr>
          <w:p>
            <w:pPr>
              <w:jc w:val="left"/>
            </w:pPr>
            <w:r>
              <w:rPr>
                <w:b/>
                <w:bCs/>
                <w:sz w:val="22"/>
                <w:szCs w:val="22"/>
              </w:rPr>
              <w:t xml:space="preserve">Reconciliation</w:t>
            </w:r>
          </w:p>
        </w:tc>
        <w:tc>
          <w:tcPr>
            <w:tcW w:type="dxa" w:w="624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Mark transactions cleared; reconcile account to statement balance</w:t>
            </w:r>
          </w:p>
        </w:tc>
      </w:tr>
      <w:tr>
        <w:tc>
          <w:tcPr>
            <w:tcW w:type="dxa" w:w="3120"/>
            <w:tcBorders>
              <w:top w:val="single" w:color="CCCCCC" w:sz="1"/>
              <w:left w:val="single" w:color="CCCCCC" w:sz="1"/>
              <w:bottom w:val="single" w:color="CCCCCC" w:sz="1"/>
              <w:right w:val="single" w:color="CCCCCC" w:sz="1"/>
            </w:tcBorders>
          </w:tcPr>
          <w:p>
            <w:pPr>
              <w:jc w:val="left"/>
            </w:pPr>
            <w:r>
              <w:rPr>
                <w:b/>
                <w:bCs/>
                <w:sz w:val="22"/>
                <w:szCs w:val="22"/>
              </w:rPr>
              <w:t xml:space="preserve">Data Management</w:t>
            </w:r>
          </w:p>
        </w:tc>
        <w:tc>
          <w:tcPr>
            <w:tcW w:type="dxa" w:w="624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Local JSON/YAML storage; export to CSV; encryption at rest; audit log</w:t>
            </w:r>
          </w:p>
        </w:tc>
      </w:tr>
      <w:tr>
        <w:tc>
          <w:tcPr>
            <w:tcW w:type="dxa" w:w="3120"/>
            <w:tcBorders>
              <w:top w:val="single" w:color="CCCCCC" w:sz="1"/>
              <w:left w:val="single" w:color="CCCCCC" w:sz="1"/>
              <w:bottom w:val="single" w:color="CCCCCC" w:sz="1"/>
              <w:right w:val="single" w:color="CCCCCC" w:sz="1"/>
            </w:tcBorders>
          </w:tcPr>
          <w:p>
            <w:pPr>
              <w:jc w:val="left"/>
            </w:pPr>
            <w:r>
              <w:rPr>
                <w:b/>
                <w:bCs/>
                <w:sz w:val="22"/>
                <w:szCs w:val="22"/>
              </w:rPr>
              <w:t xml:space="preserve">Interface</w:t>
            </w:r>
          </w:p>
        </w:tc>
        <w:tc>
          <w:tcPr>
            <w:tcW w:type="dxa" w:w="624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Hybrid CLI + interactive TUI; keyboard-driven navigation</w:t>
            </w:r>
          </w:p>
        </w:tc>
      </w:tr>
    </w:tbl>
    <w:p>
      <w:pPr>
        <w:spacing w:before="240"/>
      </w:pPr>
    </w:p>
    <w:p>
      <w:pPr>
        <w:pStyle w:val="Heading2"/>
      </w:pPr>
      <w:r>
        <w:t xml:space="preserve">5.2 Out of Scope (Deferred to V2+)</w:t>
      </w:r>
    </w:p>
    <w:p>
      <w:pPr>
        <w:pStyle w:val="ListParagraph"/>
        <w:numPr>
          <w:ilvl w:val="0"/>
          <w:numId w:val="4"/>
        </w:numPr>
      </w:pPr>
      <w:r>
        <w:t xml:space="preserve">Bank API integration (Plaid, Open Banking)</w:t>
      </w:r>
    </w:p>
    <w:p>
      <w:pPr>
        <w:pStyle w:val="ListParagraph"/>
        <w:numPr>
          <w:ilvl w:val="0"/>
          <w:numId w:val="4"/>
        </w:numPr>
      </w:pPr>
      <w:r>
        <w:t xml:space="preserve">Credit card accounts and debt paydown tracking</w:t>
      </w:r>
    </w:p>
    <w:p>
      <w:pPr>
        <w:pStyle w:val="ListParagraph"/>
        <w:numPr>
          <w:ilvl w:val="0"/>
          <w:numId w:val="4"/>
        </w:numPr>
      </w:pPr>
      <w:r>
        <w:t xml:space="preserve">Investment/tracking accounts</w:t>
      </w:r>
    </w:p>
    <w:p>
      <w:pPr>
        <w:pStyle w:val="ListParagraph"/>
        <w:numPr>
          <w:ilvl w:val="0"/>
          <w:numId w:val="4"/>
        </w:numPr>
      </w:pPr>
      <w:r>
        <w:t xml:space="preserve">Multi-currency support</w:t>
      </w:r>
    </w:p>
    <w:p>
      <w:pPr>
        <w:pStyle w:val="ListParagraph"/>
        <w:numPr>
          <w:ilvl w:val="0"/>
          <w:numId w:val="4"/>
        </w:numPr>
      </w:pPr>
      <w:r>
        <w:t xml:space="preserve">Recurring/scheduled transactions</w:t>
      </w:r>
    </w:p>
    <w:p>
      <w:pPr>
        <w:pStyle w:val="ListParagraph"/>
        <w:numPr>
          <w:ilvl w:val="0"/>
          <w:numId w:val="4"/>
        </w:numPr>
      </w:pPr>
      <w:r>
        <w:t xml:space="preserve">Savings goals and targets</w:t>
      </w:r>
    </w:p>
    <w:p>
      <w:pPr>
        <w:pStyle w:val="ListParagraph"/>
        <w:numPr>
          <w:ilvl w:val="0"/>
          <w:numId w:val="4"/>
        </w:numPr>
      </w:pPr>
      <w:r>
        <w:t xml:space="preserve">Cloud sync or multi-device access</w:t>
      </w:r>
    </w:p>
    <w:p>
      <w:pPr>
        <w:pStyle w:val="ListParagraph"/>
        <w:numPr>
          <w:ilvl w:val="0"/>
          <w:numId w:val="4"/>
        </w:numPr>
      </w:pPr>
      <w:r>
        <w:t xml:space="preserve">OFX/QIF import formats</w:t>
      </w:r>
    </w:p>
    <w:p>
      <w:pPr>
        <w:pStyle w:val="ListParagraph"/>
        <w:numPr>
          <w:ilvl w:val="0"/>
          <w:numId w:val="4"/>
        </w:numPr>
      </w:pPr>
      <w:r>
        <w:t xml:space="preserve">Mobile interface</w:t>
      </w:r>
    </w:p>
    <w:p>
      <w:pPr>
        <w:pStyle w:val="ListParagraph"/>
        <w:numPr>
          <w:ilvl w:val="0"/>
          <w:numId w:val="4"/>
        </w:numPr>
        <w:spacing w:after="200"/>
      </w:pPr>
      <w:r>
        <w:t xml:space="preserve">YNAB data import/migration tool</w:t>
      </w:r>
    </w:p>
    <w:p>
      <w:r>
        <w:br w:type="page"/>
      </w:r>
    </w:p>
    <w:p>
      <w:pPr>
        <w:pStyle w:val="Heading1"/>
      </w:pPr>
      <w:r>
        <w:t xml:space="preserve">6. Functional Requirements</w:t>
      </w:r>
    </w:p>
    <w:p>
      <w:pPr>
        <w:pStyle w:val="Heading2"/>
      </w:pPr>
      <w:r>
        <w:t xml:space="preserve">6.1 Account Management</w:t>
      </w:r>
    </w:p>
    <w:p>
      <w:pPr>
        <w:pStyle w:val="ListParagraph"/>
        <w:numPr>
          <w:ilvl w:val="0"/>
          <w:numId w:val="5"/>
        </w:numPr>
      </w:pPr>
      <w:r>
        <w:rPr>
          <w:b/>
          <w:bCs/>
        </w:rPr>
        <w:t xml:space="preserve">FR-ACC-01: </w:t>
      </w:r>
      <w:r>
        <w:t xml:space="preserve">Users shall create accounts with a name, type (checking/savings), and optional starting balance</w:t>
      </w:r>
    </w:p>
    <w:p>
      <w:pPr>
        <w:pStyle w:val="ListParagraph"/>
        <w:numPr>
          <w:ilvl w:val="0"/>
          <w:numId w:val="5"/>
        </w:numPr>
      </w:pPr>
      <w:r>
        <w:rPr>
          <w:b/>
          <w:bCs/>
        </w:rPr>
        <w:t xml:space="preserve">FR-ACC-02: </w:t>
      </w:r>
      <w:r>
        <w:t xml:space="preserve">Users shall edit account names and archive (soft-delete) accounts</w:t>
      </w:r>
    </w:p>
    <w:p>
      <w:pPr>
        <w:pStyle w:val="ListParagraph"/>
        <w:numPr>
          <w:ilvl w:val="0"/>
          <w:numId w:val="5"/>
        </w:numPr>
      </w:pPr>
      <w:r>
        <w:rPr>
          <w:b/>
          <w:bCs/>
        </w:rPr>
        <w:t xml:space="preserve">FR-ACC-03: </w:t>
      </w:r>
      <w:r>
        <w:t xml:space="preserve">System shall display current balance (cleared + pending) and cleared balance for each account</w:t>
      </w:r>
    </w:p>
    <w:p>
      <w:pPr>
        <w:pStyle w:val="ListParagraph"/>
        <w:numPr>
          <w:ilvl w:val="0"/>
          <w:numId w:val="5"/>
        </w:numPr>
        <w:spacing w:after="200"/>
      </w:pPr>
      <w:r>
        <w:rPr>
          <w:b/>
          <w:bCs/>
        </w:rPr>
        <w:t xml:space="preserve">FR-ACC-04: </w:t>
      </w:r>
      <w:r>
        <w:t xml:space="preserve">System shall support transfers between accounts as linked transactions</w:t>
      </w:r>
    </w:p>
    <w:p>
      <w:pPr>
        <w:pStyle w:val="Heading2"/>
      </w:pPr>
      <w:r>
        <w:t xml:space="preserve">6.2 Budget Management</w:t>
      </w:r>
    </w:p>
    <w:p>
      <w:pPr>
        <w:pStyle w:val="ListParagraph"/>
        <w:numPr>
          <w:ilvl w:val="0"/>
          <w:numId w:val="5"/>
        </w:numPr>
      </w:pPr>
      <w:r>
        <w:rPr>
          <w:b/>
          <w:bCs/>
        </w:rPr>
        <w:t xml:space="preserve">FR-BUD-01: </w:t>
      </w:r>
      <w:r>
        <w:t xml:space="preserve">Users shall create budget categories organized in customizable groups</w:t>
      </w:r>
    </w:p>
    <w:p>
      <w:pPr>
        <w:pStyle w:val="ListParagraph"/>
        <w:numPr>
          <w:ilvl w:val="0"/>
          <w:numId w:val="5"/>
        </w:numPr>
      </w:pPr>
      <w:r>
        <w:rPr>
          <w:b/>
          <w:bCs/>
        </w:rPr>
        <w:t xml:space="preserve">FR-BUD-02: </w:t>
      </w:r>
      <w:r>
        <w:t xml:space="preserve">Users shall assign available funds to categories (zero-based allocation)</w:t>
      </w:r>
    </w:p>
    <w:p>
      <w:pPr>
        <w:pStyle w:val="ListParagraph"/>
        <w:numPr>
          <w:ilvl w:val="0"/>
          <w:numId w:val="5"/>
        </w:numPr>
      </w:pPr>
      <w:r>
        <w:rPr>
          <w:b/>
          <w:bCs/>
        </w:rPr>
        <w:t xml:space="preserve">FR-BUD-03: </w:t>
      </w:r>
      <w:r>
        <w:t xml:space="preserve">System shall track "Available to Budget" — unassigned funds that must reach zero</w:t>
      </w:r>
    </w:p>
    <w:p>
      <w:pPr>
        <w:pStyle w:val="ListParagraph"/>
        <w:numPr>
          <w:ilvl w:val="0"/>
          <w:numId w:val="5"/>
        </w:numPr>
      </w:pPr>
      <w:r>
        <w:rPr>
          <w:b/>
          <w:bCs/>
        </w:rPr>
        <w:t xml:space="preserve">FR-BUD-04: </w:t>
      </w:r>
      <w:r>
        <w:t xml:space="preserve">Users shall move funds between categories at any time</w:t>
      </w:r>
    </w:p>
    <w:p>
      <w:pPr>
        <w:pStyle w:val="ListParagraph"/>
        <w:numPr>
          <w:ilvl w:val="0"/>
          <w:numId w:val="5"/>
        </w:numPr>
      </w:pPr>
      <w:r>
        <w:rPr>
          <w:b/>
          <w:bCs/>
        </w:rPr>
        <w:t xml:space="preserve">FR-BUD-05: </w:t>
      </w:r>
      <w:r>
        <w:t xml:space="preserve">System shall support flexible budget periods: weekly, bi-weekly, monthly, or custom date ranges</w:t>
      </w:r>
    </w:p>
    <w:p>
      <w:pPr>
        <w:pStyle w:val="ListParagraph"/>
        <w:numPr>
          <w:ilvl w:val="0"/>
          <w:numId w:val="5"/>
        </w:numPr>
      </w:pPr>
      <w:r>
        <w:rPr>
          <w:b/>
          <w:bCs/>
        </w:rPr>
        <w:t xml:space="preserve">FR-BUD-06: </w:t>
      </w:r>
      <w:r>
        <w:t xml:space="preserve">System shall roll over category balances (positive or negative) to subsequent periods</w:t>
      </w:r>
    </w:p>
    <w:p>
      <w:pPr>
        <w:pStyle w:val="ListParagraph"/>
        <w:numPr>
          <w:ilvl w:val="0"/>
          <w:numId w:val="5"/>
        </w:numPr>
        <w:spacing w:after="200"/>
      </w:pPr>
      <w:r>
        <w:rPr>
          <w:b/>
          <w:bCs/>
        </w:rPr>
        <w:t xml:space="preserve">FR-BUD-07: </w:t>
      </w:r>
      <w:r>
        <w:t xml:space="preserve">System shall visually indicate overspent categories (negative available balance)</w:t>
      </w:r>
    </w:p>
    <w:p>
      <w:pPr>
        <w:pStyle w:val="Heading2"/>
      </w:pPr>
      <w:r>
        <w:t xml:space="preserve">6.3 Transaction Management</w:t>
      </w:r>
    </w:p>
    <w:p>
      <w:pPr>
        <w:pStyle w:val="ListParagraph"/>
        <w:numPr>
          <w:ilvl w:val="0"/>
          <w:numId w:val="5"/>
        </w:numPr>
      </w:pPr>
      <w:r>
        <w:rPr>
          <w:b/>
          <w:bCs/>
        </w:rPr>
        <w:t xml:space="preserve">FR-TXN-01: </w:t>
      </w:r>
      <w:r>
        <w:t xml:space="preserve">Users shall manually add transactions with: date, payee, amount, category, memo (optional)</w:t>
      </w:r>
    </w:p>
    <w:p>
      <w:pPr>
        <w:pStyle w:val="ListParagraph"/>
        <w:numPr>
          <w:ilvl w:val="0"/>
          <w:numId w:val="5"/>
        </w:numPr>
      </w:pPr>
      <w:r>
        <w:rPr>
          <w:b/>
          <w:bCs/>
        </w:rPr>
        <w:t xml:space="preserve">FR-TXN-02: </w:t>
      </w:r>
      <w:r>
        <w:t xml:space="preserve">Users shall import transactions from CSV files with configurable column mapping</w:t>
      </w:r>
    </w:p>
    <w:p>
      <w:pPr>
        <w:pStyle w:val="ListParagraph"/>
        <w:numPr>
          <w:ilvl w:val="0"/>
          <w:numId w:val="5"/>
        </w:numPr>
      </w:pPr>
      <w:r>
        <w:rPr>
          <w:b/>
          <w:bCs/>
        </w:rPr>
        <w:t xml:space="preserve">FR-TXN-03: </w:t>
      </w:r>
      <w:r>
        <w:t xml:space="preserve">System shall detect and flag potential duplicate transactions during import</w:t>
      </w:r>
    </w:p>
    <w:p>
      <w:pPr>
        <w:pStyle w:val="ListParagraph"/>
        <w:numPr>
          <w:ilvl w:val="0"/>
          <w:numId w:val="5"/>
        </w:numPr>
      </w:pPr>
      <w:r>
        <w:rPr>
          <w:b/>
          <w:bCs/>
        </w:rPr>
        <w:t xml:space="preserve">FR-TXN-04: </w:t>
      </w:r>
      <w:r>
        <w:t xml:space="preserve">Users shall split single transactions across multiple categories</w:t>
      </w:r>
    </w:p>
    <w:p>
      <w:pPr>
        <w:pStyle w:val="ListParagraph"/>
        <w:numPr>
          <w:ilvl w:val="0"/>
          <w:numId w:val="5"/>
        </w:numPr>
      </w:pPr>
      <w:r>
        <w:rPr>
          <w:b/>
          <w:bCs/>
        </w:rPr>
        <w:t xml:space="preserve">FR-TXN-05: </w:t>
      </w:r>
      <w:r>
        <w:t xml:space="preserve">Users shall edit and delete transactions with full audit trail</w:t>
      </w:r>
    </w:p>
    <w:p>
      <w:pPr>
        <w:pStyle w:val="ListParagraph"/>
        <w:numPr>
          <w:ilvl w:val="0"/>
          <w:numId w:val="5"/>
        </w:numPr>
      </w:pPr>
      <w:r>
        <w:rPr>
          <w:b/>
          <w:bCs/>
        </w:rPr>
        <w:t xml:space="preserve">FR-TXN-06: </w:t>
      </w:r>
      <w:r>
        <w:t xml:space="preserve">System shall auto-suggest payees and categories based on historical patterns</w:t>
      </w:r>
    </w:p>
    <w:p>
      <w:pPr>
        <w:pStyle w:val="ListParagraph"/>
        <w:numPr>
          <w:ilvl w:val="0"/>
          <w:numId w:val="5"/>
        </w:numPr>
        <w:spacing w:after="200"/>
      </w:pPr>
      <w:r>
        <w:rPr>
          <w:b/>
          <w:bCs/>
        </w:rPr>
        <w:t xml:space="preserve">FR-TXN-07: </w:t>
      </w:r>
      <w:r>
        <w:t xml:space="preserve">Transactions shall have states: pending (default), cleared, reconciled</w:t>
      </w:r>
    </w:p>
    <w:p>
      <w:pPr>
        <w:pStyle w:val="Heading2"/>
      </w:pPr>
      <w:r>
        <w:t xml:space="preserve">6.4 Reconciliation</w:t>
      </w:r>
    </w:p>
    <w:p>
      <w:pPr>
        <w:pStyle w:val="ListParagraph"/>
        <w:numPr>
          <w:ilvl w:val="0"/>
          <w:numId w:val="5"/>
        </w:numPr>
      </w:pPr>
      <w:r>
        <w:rPr>
          <w:b/>
          <w:bCs/>
        </w:rPr>
        <w:t xml:space="preserve">FR-REC-01: </w:t>
      </w:r>
      <w:r>
        <w:t xml:space="preserve">Users shall initiate reconciliation by entering statement ending balance and date</w:t>
      </w:r>
    </w:p>
    <w:p>
      <w:pPr>
        <w:pStyle w:val="ListParagraph"/>
        <w:numPr>
          <w:ilvl w:val="0"/>
          <w:numId w:val="5"/>
        </w:numPr>
      </w:pPr>
      <w:r>
        <w:rPr>
          <w:b/>
          <w:bCs/>
        </w:rPr>
        <w:t xml:space="preserve">FR-REC-02: </w:t>
      </w:r>
      <w:r>
        <w:t xml:space="preserve">System shall display difference between cleared transactions and statement balance</w:t>
      </w:r>
    </w:p>
    <w:p>
      <w:pPr>
        <w:pStyle w:val="ListParagraph"/>
        <w:numPr>
          <w:ilvl w:val="0"/>
          <w:numId w:val="5"/>
        </w:numPr>
      </w:pPr>
      <w:r>
        <w:rPr>
          <w:b/>
          <w:bCs/>
        </w:rPr>
        <w:t xml:space="preserve">FR-REC-03: </w:t>
      </w:r>
      <w:r>
        <w:t xml:space="preserve">Users shall mark transactions as cleared during reconciliation workflow</w:t>
      </w:r>
    </w:p>
    <w:p>
      <w:pPr>
        <w:pStyle w:val="ListParagraph"/>
        <w:numPr>
          <w:ilvl w:val="0"/>
          <w:numId w:val="5"/>
        </w:numPr>
      </w:pPr>
      <w:r>
        <w:rPr>
          <w:b/>
          <w:bCs/>
        </w:rPr>
        <w:t xml:space="preserve">FR-REC-04: </w:t>
      </w:r>
      <w:r>
        <w:t xml:space="preserve">System shall lock reconciled transactions from editing (require explicit unlock)</w:t>
      </w:r>
    </w:p>
    <w:p>
      <w:pPr>
        <w:pStyle w:val="ListParagraph"/>
        <w:numPr>
          <w:ilvl w:val="0"/>
          <w:numId w:val="5"/>
        </w:numPr>
        <w:spacing w:after="200"/>
      </w:pPr>
      <w:r>
        <w:rPr>
          <w:b/>
          <w:bCs/>
        </w:rPr>
        <w:t xml:space="preserve">FR-REC-05: </w:t>
      </w:r>
      <w:r>
        <w:t xml:space="preserve">System shall create adjustment transaction if user accepts discrepancy</w:t>
      </w:r>
    </w:p>
    <w:p>
      <w:pPr>
        <w:pStyle w:val="Heading2"/>
      </w:pPr>
      <w:r>
        <w:t xml:space="preserve">6.5 Reporting</w:t>
      </w:r>
    </w:p>
    <w:p>
      <w:pPr>
        <w:pStyle w:val="ListParagraph"/>
        <w:numPr>
          <w:ilvl w:val="0"/>
          <w:numId w:val="5"/>
        </w:numPr>
      </w:pPr>
      <w:r>
        <w:rPr>
          <w:b/>
          <w:bCs/>
        </w:rPr>
        <w:t xml:space="preserve">FR-RPT-01: </w:t>
      </w:r>
      <w:r>
        <w:t xml:space="preserve">Budget Overview: Show all categories with budgeted, activity, and available amounts</w:t>
      </w:r>
    </w:p>
    <w:p>
      <w:pPr>
        <w:pStyle w:val="ListParagraph"/>
        <w:numPr>
          <w:ilvl w:val="0"/>
          <w:numId w:val="5"/>
        </w:numPr>
      </w:pPr>
      <w:r>
        <w:rPr>
          <w:b/>
          <w:bCs/>
        </w:rPr>
        <w:t xml:space="preserve">FR-RPT-02: </w:t>
      </w:r>
      <w:r>
        <w:t xml:space="preserve">Spending Report: Breakdown by category for any date range</w:t>
      </w:r>
    </w:p>
    <w:p>
      <w:pPr>
        <w:pStyle w:val="ListParagraph"/>
        <w:numPr>
          <w:ilvl w:val="0"/>
          <w:numId w:val="5"/>
        </w:numPr>
      </w:pPr>
      <w:r>
        <w:rPr>
          <w:b/>
          <w:bCs/>
        </w:rPr>
        <w:t xml:space="preserve">FR-RPT-03: </w:t>
      </w:r>
      <w:r>
        <w:t xml:space="preserve">Net Worth: Sum of all account balances</w:t>
      </w:r>
    </w:p>
    <w:p>
      <w:pPr>
        <w:pStyle w:val="ListParagraph"/>
        <w:numPr>
          <w:ilvl w:val="0"/>
          <w:numId w:val="5"/>
        </w:numPr>
      </w:pPr>
      <w:r>
        <w:rPr>
          <w:b/>
          <w:bCs/>
        </w:rPr>
        <w:t xml:space="preserve">FR-RPT-04: </w:t>
      </w:r>
      <w:r>
        <w:t xml:space="preserve">Account Register: Filterable transaction list per account</w:t>
      </w:r>
    </w:p>
    <w:p>
      <w:pPr>
        <w:pStyle w:val="ListParagraph"/>
        <w:numPr>
          <w:ilvl w:val="0"/>
          <w:numId w:val="5"/>
        </w:numPr>
        <w:spacing w:after="200"/>
      </w:pPr>
      <w:r>
        <w:rPr>
          <w:b/>
          <w:bCs/>
        </w:rPr>
        <w:t xml:space="preserve">FR-RPT-05: </w:t>
      </w:r>
      <w:r>
        <w:t xml:space="preserve">Reports shall be exportable to CSV format</w:t>
      </w:r>
    </w:p>
    <w:p>
      <w:r>
        <w:br w:type="page"/>
      </w:r>
    </w:p>
    <w:p>
      <w:pPr>
        <w:pStyle w:val="Heading1"/>
      </w:pPr>
      <w:r>
        <w:t xml:space="preserve">7. Interface Requirements</w:t>
      </w:r>
    </w:p>
    <w:p>
      <w:pPr>
        <w:pStyle w:val="Heading2"/>
      </w:pPr>
      <w:r>
        <w:t xml:space="preserve">7.1 Hybrid Interface Model</w:t>
      </w:r>
    </w:p>
    <w:p>
      <w:pPr>
        <w:spacing w:after="120"/>
      </w:pPr>
      <w:r>
        <w:rPr>
          <w:b w:val="false"/>
          <w:bCs w:val="false"/>
          <w:i w:val="false"/>
          <w:iCs w:val="false"/>
          <w:sz w:val="22"/>
          <w:szCs w:val="22"/>
        </w:rPr>
        <w:t xml:space="preserve">The application shall provide two complementary interaction modes:</w:t>
      </w:r>
    </w:p>
    <w:p>
      <w:pPr>
        <w:pStyle w:val="Heading3"/>
      </w:pPr>
      <w:r>
        <w:t xml:space="preserve">7.1.1 Command-Line Interface (CLI Mode)</w:t>
      </w:r>
    </w:p>
    <w:p>
      <w:pPr>
        <w:spacing w:after="120"/>
      </w:pPr>
      <w:r>
        <w:rPr>
          <w:b w:val="false"/>
          <w:bCs w:val="false"/>
          <w:i w:val="false"/>
          <w:iCs w:val="false"/>
          <w:sz w:val="22"/>
          <w:szCs w:val="22"/>
        </w:rPr>
        <w:t xml:space="preserve">Direct commands for scripting, automation, and quick operations. Commands follow a verb-noun pattern with flags for options.</w:t>
      </w:r>
    </w:p>
    <w:p>
      <w:pPr>
        <w:shd w:fill="F5F5F5" w:val="clear"/>
        <w:spacing w:before="120" w:after="120"/>
        <w:ind w:left="360" w:right="360"/>
      </w:pPr>
      <w:r>
        <w:rPr>
          <w:rFonts w:ascii="Courier New" w:cs="Courier New" w:eastAsia="Courier New" w:hAnsi="Courier New"/>
          <w:sz w:val="20"/>
          <w:szCs w:val="20"/>
        </w:rPr>
        <w:t xml:space="preserve">envelope add txn --account checking --payee "Grocery Store" --amount -85.50 --category groceries</w:t>
      </w:r>
    </w:p>
    <w:p>
      <w:pPr>
        <w:shd w:fill="F5F5F5" w:val="clear"/>
        <w:ind w:left="360" w:right="360"/>
      </w:pPr>
      <w:r>
        <w:rPr>
          <w:rFonts w:ascii="Courier New" w:cs="Courier New" w:eastAsia="Courier New" w:hAnsi="Courier New"/>
          <w:sz w:val="20"/>
          <w:szCs w:val="20"/>
        </w:rPr>
        <w:t xml:space="preserve">envelope budget assign groceries 400</w:t>
      </w:r>
    </w:p>
    <w:p>
      <w:pPr>
        <w:shd w:fill="F5F5F5" w:val="clear"/>
        <w:ind w:left="360" w:right="360"/>
      </w:pPr>
      <w:r>
        <w:rPr>
          <w:rFonts w:ascii="Courier New" w:cs="Courier New" w:eastAsia="Courier New" w:hAnsi="Courier New"/>
          <w:sz w:val="20"/>
          <w:szCs w:val="20"/>
        </w:rPr>
        <w:t xml:space="preserve">envelope report spending --from 2025-01-01 --to 2025-01-31</w:t>
      </w:r>
    </w:p>
    <w:p>
      <w:pPr>
        <w:shd w:fill="F5F5F5" w:val="clear"/>
        <w:spacing w:after="200"/>
        <w:ind w:left="360" w:right="360"/>
      </w:pPr>
      <w:r>
        <w:rPr>
          <w:rFonts w:ascii="Courier New" w:cs="Courier New" w:eastAsia="Courier New" w:hAnsi="Courier New"/>
          <w:sz w:val="20"/>
          <w:szCs w:val="20"/>
        </w:rPr>
        <w:t xml:space="preserve">envelope import ~/downloads/bank-export.csv --account checking</w:t>
      </w:r>
    </w:p>
    <w:p>
      <w:pPr>
        <w:pStyle w:val="Heading3"/>
      </w:pPr>
      <w:r>
        <w:t xml:space="preserve">7.1.2 Terminal User Interface (TUI Mode)</w:t>
      </w:r>
    </w:p>
    <w:p>
      <w:pPr>
        <w:spacing w:after="120"/>
      </w:pPr>
      <w:r>
        <w:rPr>
          <w:b w:val="false"/>
          <w:bCs w:val="false"/>
          <w:i w:val="false"/>
          <w:iCs w:val="false"/>
          <w:sz w:val="22"/>
          <w:szCs w:val="22"/>
        </w:rPr>
        <w:t xml:space="preserve">Full-screen interactive mode for browsing, bulk operations, and visual budget management. Launched via:</w:t>
      </w:r>
    </w:p>
    <w:p>
      <w:pPr>
        <w:shd w:fill="F5F5F5" w:val="clear"/>
        <w:spacing w:before="120" w:after="200"/>
        <w:ind w:left="360" w:right="360"/>
      </w:pPr>
      <w:r>
        <w:rPr>
          <w:rFonts w:ascii="Courier New" w:cs="Courier New" w:eastAsia="Courier New" w:hAnsi="Courier New"/>
          <w:sz w:val="20"/>
          <w:szCs w:val="20"/>
        </w:rPr>
        <w:t xml:space="preserve">envelope tui</w:t>
      </w:r>
    </w:p>
    <w:p>
      <w:pPr>
        <w:pStyle w:val="Heading2"/>
      </w:pPr>
      <w:r>
        <w:t xml:space="preserve">7.2 TUI Layout</w:t>
      </w:r>
    </w:p>
    <w:p>
      <w:pPr>
        <w:pStyle w:val="ListParagraph"/>
        <w:numPr>
          <w:ilvl w:val="0"/>
          <w:numId w:val="5"/>
        </w:numPr>
      </w:pPr>
      <w:r>
        <w:rPr>
          <w:b/>
          <w:bCs/>
        </w:rPr>
        <w:t xml:space="preserve">Navigation Sidebar: </w:t>
      </w:r>
      <w:r>
        <w:t xml:space="preserve">Account list, budget view, reports access</w:t>
      </w:r>
    </w:p>
    <w:p>
      <w:pPr>
        <w:pStyle w:val="ListParagraph"/>
        <w:numPr>
          <w:ilvl w:val="0"/>
          <w:numId w:val="5"/>
        </w:numPr>
      </w:pPr>
      <w:r>
        <w:rPr>
          <w:b/>
          <w:bCs/>
        </w:rPr>
        <w:t xml:space="preserve">Main Panel: </w:t>
      </w:r>
      <w:r>
        <w:t xml:space="preserve">Context-sensitive content (transaction register, budget grid, reports)</w:t>
      </w:r>
    </w:p>
    <w:p>
      <w:pPr>
        <w:pStyle w:val="ListParagraph"/>
        <w:numPr>
          <w:ilvl w:val="0"/>
          <w:numId w:val="5"/>
        </w:numPr>
      </w:pPr>
      <w:r>
        <w:rPr>
          <w:b/>
          <w:bCs/>
        </w:rPr>
        <w:t xml:space="preserve">Status Bar: </w:t>
      </w:r>
      <w:r>
        <w:t xml:space="preserve">"Available to Budget" amount, current account balance, keyboard shortcut hints</w:t>
      </w:r>
    </w:p>
    <w:p>
      <w:pPr>
        <w:pStyle w:val="ListParagraph"/>
        <w:numPr>
          <w:ilvl w:val="0"/>
          <w:numId w:val="5"/>
        </w:numPr>
        <w:spacing w:after="200"/>
      </w:pPr>
      <w:r>
        <w:rPr>
          <w:b/>
          <w:bCs/>
        </w:rPr>
        <w:t xml:space="preserve">Command Palette: </w:t>
      </w:r>
      <w:r>
        <w:t xml:space="preserve">Quick access to all commands via fuzzy search (triggered by : or /)</w:t>
      </w:r>
    </w:p>
    <w:p>
      <w:pPr>
        <w:pStyle w:val="Heading2"/>
      </w:pPr>
      <w:r>
        <w:t xml:space="preserve">7.3 Keyboard Navigation</w:t>
      </w:r>
    </w:p>
    <w:tbl>
      <w:tblPr>
        <w:tblW w:type="auto" w:w="100"/>
        <w:tblBorders>
          <w:top w:val="single" w:color="auto" w:sz="4"/>
          <w:left w:val="single" w:color="auto" w:sz="4"/>
          <w:bottom w:val="single" w:color="auto" w:sz="4"/>
          <w:right w:val="single" w:color="auto" w:sz="4"/>
          <w:insideH w:val="single" w:color="auto" w:sz="4"/>
          <w:insideV w:val="single" w:color="auto" w:sz="4"/>
        </w:tblBorders>
      </w:tblPr>
      <w:tblGrid>
        <w:gridCol w:w="2340"/>
        <w:gridCol w:w="7020"/>
      </w:tblGrid>
      <w:tr>
        <w:tc>
          <w:tcPr>
            <w:tcW w:type="dxa" w:w="2340"/>
            <w:tcBorders>
              <w:top w:val="single" w:color="CCCCCC" w:sz="1"/>
              <w:left w:val="single" w:color="CCCCCC" w:sz="1"/>
              <w:bottom w:val="single" w:color="CCCCCC" w:sz="1"/>
              <w:right w:val="single" w:color="CCCCCC" w:sz="1"/>
            </w:tcBorders>
            <w:shd w:fill="E8F4F8" w:val="clear"/>
          </w:tcPr>
          <w:p>
            <w:pPr>
              <w:jc w:val="left"/>
            </w:pPr>
            <w:r>
              <w:rPr>
                <w:b/>
                <w:bCs/>
                <w:sz w:val="22"/>
                <w:szCs w:val="22"/>
              </w:rPr>
              <w:t xml:space="preserve">Key</w:t>
            </w:r>
          </w:p>
        </w:tc>
        <w:tc>
          <w:tcPr>
            <w:tcW w:type="dxa" w:w="7020"/>
            <w:tcBorders>
              <w:top w:val="single" w:color="CCCCCC" w:sz="1"/>
              <w:left w:val="single" w:color="CCCCCC" w:sz="1"/>
              <w:bottom w:val="single" w:color="CCCCCC" w:sz="1"/>
              <w:right w:val="single" w:color="CCCCCC" w:sz="1"/>
            </w:tcBorders>
            <w:shd w:fill="E8F4F8" w:val="clear"/>
          </w:tcPr>
          <w:p>
            <w:pPr>
              <w:jc w:val="left"/>
            </w:pPr>
            <w:r>
              <w:rPr>
                <w:b/>
                <w:bCs/>
                <w:sz w:val="22"/>
                <w:szCs w:val="22"/>
              </w:rPr>
              <w:t xml:space="preserve">Action</w:t>
            </w:r>
          </w:p>
        </w:tc>
      </w:tr>
      <w:tr>
        <w:tc>
          <w:tcPr>
            <w:tcW w:type="dxa" w:w="234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j/k or ↑/↓</w:t>
            </w:r>
          </w:p>
        </w:tc>
        <w:tc>
          <w:tcPr>
            <w:tcW w:type="dxa" w:w="702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Navigate up/down in lists</w:t>
            </w:r>
          </w:p>
        </w:tc>
      </w:tr>
      <w:tr>
        <w:tc>
          <w:tcPr>
            <w:tcW w:type="dxa" w:w="234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h/l or ←/→</w:t>
            </w:r>
          </w:p>
        </w:tc>
        <w:tc>
          <w:tcPr>
            <w:tcW w:type="dxa" w:w="702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Navigate between panels/columns</w:t>
            </w:r>
          </w:p>
        </w:tc>
      </w:tr>
      <w:tr>
        <w:tc>
          <w:tcPr>
            <w:tcW w:type="dxa" w:w="234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Enter</w:t>
            </w:r>
          </w:p>
        </w:tc>
        <w:tc>
          <w:tcPr>
            <w:tcW w:type="dxa" w:w="702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Select/edit item</w:t>
            </w:r>
          </w:p>
        </w:tc>
      </w:tr>
      <w:tr>
        <w:tc>
          <w:tcPr>
            <w:tcW w:type="dxa" w:w="234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a</w:t>
            </w:r>
          </w:p>
        </w:tc>
        <w:tc>
          <w:tcPr>
            <w:tcW w:type="dxa" w:w="702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Add new item (transaction, category, account)</w:t>
            </w:r>
          </w:p>
        </w:tc>
      </w:tr>
      <w:tr>
        <w:tc>
          <w:tcPr>
            <w:tcW w:type="dxa" w:w="234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e</w:t>
            </w:r>
          </w:p>
        </w:tc>
        <w:tc>
          <w:tcPr>
            <w:tcW w:type="dxa" w:w="702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Edit selected item</w:t>
            </w:r>
          </w:p>
        </w:tc>
      </w:tr>
      <w:tr>
        <w:tc>
          <w:tcPr>
            <w:tcW w:type="dxa" w:w="234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d</w:t>
            </w:r>
          </w:p>
        </w:tc>
        <w:tc>
          <w:tcPr>
            <w:tcW w:type="dxa" w:w="702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Delete selected item (with confirmation)</w:t>
            </w:r>
          </w:p>
        </w:tc>
      </w:tr>
      <w:tr>
        <w:tc>
          <w:tcPr>
            <w:tcW w:type="dxa" w:w="234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c</w:t>
            </w:r>
          </w:p>
        </w:tc>
        <w:tc>
          <w:tcPr>
            <w:tcW w:type="dxa" w:w="702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Mark transaction cleared</w:t>
            </w:r>
          </w:p>
        </w:tc>
      </w:tr>
      <w:tr>
        <w:tc>
          <w:tcPr>
            <w:tcW w:type="dxa" w:w="234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m</w:t>
            </w:r>
          </w:p>
        </w:tc>
        <w:tc>
          <w:tcPr>
            <w:tcW w:type="dxa" w:w="702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Move funds between categories</w:t>
            </w:r>
          </w:p>
        </w:tc>
      </w:tr>
      <w:tr>
        <w:tc>
          <w:tcPr>
            <w:tcW w:type="dxa" w:w="234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w:t>
            </w:r>
          </w:p>
        </w:tc>
        <w:tc>
          <w:tcPr>
            <w:tcW w:type="dxa" w:w="702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Search/filter</w:t>
            </w:r>
          </w:p>
        </w:tc>
      </w:tr>
      <w:tr>
        <w:tc>
          <w:tcPr>
            <w:tcW w:type="dxa" w:w="234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w:t>
            </w:r>
          </w:p>
        </w:tc>
        <w:tc>
          <w:tcPr>
            <w:tcW w:type="dxa" w:w="702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Open command palette</w:t>
            </w:r>
          </w:p>
        </w:tc>
      </w:tr>
      <w:tr>
        <w:tc>
          <w:tcPr>
            <w:tcW w:type="dxa" w:w="234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q or Esc</w:t>
            </w:r>
          </w:p>
        </w:tc>
        <w:tc>
          <w:tcPr>
            <w:tcW w:type="dxa" w:w="702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Back/quit</w:t>
            </w:r>
          </w:p>
        </w:tc>
      </w:tr>
      <w:tr>
        <w:tc>
          <w:tcPr>
            <w:tcW w:type="dxa" w:w="234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w:t>
            </w:r>
          </w:p>
        </w:tc>
        <w:tc>
          <w:tcPr>
            <w:tcW w:type="dxa" w:w="702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Show help</w:t>
            </w:r>
          </w:p>
        </w:tc>
      </w:tr>
    </w:tbl>
    <w:p>
      <w:r>
        <w:br w:type="page"/>
      </w:r>
    </w:p>
    <w:p>
      <w:pPr>
        <w:pStyle w:val="Heading1"/>
      </w:pPr>
      <w:r>
        <w:t xml:space="preserve">8. Technical Architecture</w:t>
      </w:r>
    </w:p>
    <w:p>
      <w:pPr>
        <w:pStyle w:val="Heading2"/>
      </w:pPr>
      <w:r>
        <w:t xml:space="preserve">8.1 Recommended Technology Stack</w:t>
      </w:r>
    </w:p>
    <w:p>
      <w:pPr>
        <w:pStyle w:val="Heading3"/>
      </w:pPr>
      <w:r>
        <w:t xml:space="preserve">Option A: Rust (Recommended)</w:t>
      </w:r>
    </w:p>
    <w:p>
      <w:pPr>
        <w:pStyle w:val="ListParagraph"/>
        <w:numPr>
          <w:ilvl w:val="0"/>
          <w:numId w:val="6"/>
        </w:numPr>
      </w:pPr>
      <w:r>
        <w:rPr>
          <w:b/>
          <w:bCs/>
        </w:rPr>
        <w:t xml:space="preserve">Pros: </w:t>
      </w:r>
      <w:r>
        <w:t xml:space="preserve">Fastest startup time, single binary distribution, excellent cross-platform support, strong type safety, growing ecosystem for TUI (ratatui)</w:t>
      </w:r>
    </w:p>
    <w:p>
      <w:pPr>
        <w:pStyle w:val="ListParagraph"/>
        <w:numPr>
          <w:ilvl w:val="0"/>
          <w:numId w:val="6"/>
        </w:numPr>
      </w:pPr>
      <w:r>
        <w:rPr>
          <w:b/>
          <w:bCs/>
        </w:rPr>
        <w:t xml:space="preserve">Cons: </w:t>
      </w:r>
      <w:r>
        <w:t xml:space="preserve">Steeper learning curve, longer initial development time</w:t>
      </w:r>
    </w:p>
    <w:p>
      <w:pPr>
        <w:pStyle w:val="ListParagraph"/>
        <w:numPr>
          <w:ilvl w:val="0"/>
          <w:numId w:val="6"/>
        </w:numPr>
        <w:spacing w:after="200"/>
      </w:pPr>
      <w:r>
        <w:rPr>
          <w:b/>
          <w:bCs/>
        </w:rPr>
        <w:t xml:space="preserve">Libraries: </w:t>
      </w:r>
      <w:r>
        <w:t xml:space="preserve">clap (CLI parsing), ratatui (TUI), serde (JSON/YAML), rusqlite or native file I/O</w:t>
      </w:r>
    </w:p>
    <w:p>
      <w:pPr>
        <w:pStyle w:val="Heading3"/>
      </w:pPr>
      <w:r>
        <w:t xml:space="preserve">Option B: Go</w:t>
      </w:r>
    </w:p>
    <w:p>
      <w:pPr>
        <w:pStyle w:val="ListParagraph"/>
        <w:numPr>
          <w:ilvl w:val="0"/>
          <w:numId w:val="6"/>
        </w:numPr>
      </w:pPr>
      <w:r>
        <w:rPr>
          <w:b/>
          <w:bCs/>
        </w:rPr>
        <w:t xml:space="preserve">Pros: </w:t>
      </w:r>
      <w:r>
        <w:t xml:space="preserve">Fast compilation, single binary, simpler than Rust, good cross-compilation</w:t>
      </w:r>
    </w:p>
    <w:p>
      <w:pPr>
        <w:pStyle w:val="ListParagraph"/>
        <w:numPr>
          <w:ilvl w:val="0"/>
          <w:numId w:val="6"/>
        </w:numPr>
      </w:pPr>
      <w:r>
        <w:rPr>
          <w:b/>
          <w:bCs/>
        </w:rPr>
        <w:t xml:space="preserve">Cons: </w:t>
      </w:r>
      <w:r>
        <w:t xml:space="preserve">Less expressive type system, TUI libraries less mature than Rust</w:t>
      </w:r>
    </w:p>
    <w:p>
      <w:pPr>
        <w:pStyle w:val="ListParagraph"/>
        <w:numPr>
          <w:ilvl w:val="0"/>
          <w:numId w:val="6"/>
        </w:numPr>
        <w:spacing w:after="200"/>
      </w:pPr>
      <w:r>
        <w:rPr>
          <w:b/>
          <w:bCs/>
        </w:rPr>
        <w:t xml:space="preserve">Libraries: </w:t>
      </w:r>
      <w:r>
        <w:t xml:space="preserve">cobra (CLI), bubbletea/lipgloss (TUI), encoding/json</w:t>
      </w:r>
    </w:p>
    <w:p>
      <w:pPr>
        <w:pStyle w:val="Heading3"/>
      </w:pPr>
      <w:r>
        <w:t xml:space="preserve">Option C: Python</w:t>
      </w:r>
    </w:p>
    <w:p>
      <w:pPr>
        <w:pStyle w:val="ListParagraph"/>
        <w:numPr>
          <w:ilvl w:val="0"/>
          <w:numId w:val="6"/>
        </w:numPr>
      </w:pPr>
      <w:r>
        <w:rPr>
          <w:b/>
          <w:bCs/>
        </w:rPr>
        <w:t xml:space="preserve">Pros: </w:t>
      </w:r>
      <w:r>
        <w:t xml:space="preserve">Fastest development velocity, rich ecosystem, most accessible for contributors</w:t>
      </w:r>
    </w:p>
    <w:p>
      <w:pPr>
        <w:pStyle w:val="ListParagraph"/>
        <w:numPr>
          <w:ilvl w:val="0"/>
          <w:numId w:val="6"/>
        </w:numPr>
      </w:pPr>
      <w:r>
        <w:rPr>
          <w:b/>
          <w:bCs/>
        </w:rPr>
        <w:t xml:space="preserve">Cons: </w:t>
      </w:r>
      <w:r>
        <w:t xml:space="preserve">Slower startup, requires Python runtime or bundling (PyInstaller)</w:t>
      </w:r>
    </w:p>
    <w:p>
      <w:pPr>
        <w:pStyle w:val="ListParagraph"/>
        <w:numPr>
          <w:ilvl w:val="0"/>
          <w:numId w:val="6"/>
        </w:numPr>
        <w:spacing w:after="200"/>
      </w:pPr>
      <w:r>
        <w:rPr>
          <w:b/>
          <w:bCs/>
        </w:rPr>
        <w:t xml:space="preserve">Libraries: </w:t>
      </w:r>
      <w:r>
        <w:t xml:space="preserve">typer/click (CLI), textual (TUI), pydantic (data validation)</w:t>
      </w:r>
    </w:p>
    <w:p>
      <w:pPr>
        <w:pStyle w:val="Heading2"/>
      </w:pPr>
      <w:r>
        <w:t xml:space="preserve">8.2 Data Storage</w:t>
      </w:r>
    </w:p>
    <w:p>
      <w:pPr>
        <w:pStyle w:val="Heading3"/>
      </w:pPr>
      <w:r>
        <w:t xml:space="preserve">Primary Format: JSON with Schema</w:t>
      </w:r>
    </w:p>
    <w:p>
      <w:pPr>
        <w:pStyle w:val="ListParagraph"/>
        <w:numPr>
          <w:ilvl w:val="0"/>
          <w:numId w:val="6"/>
        </w:numPr>
      </w:pPr>
      <w:r>
        <w:t xml:space="preserve">Human-readable and editable in any text editor</w:t>
      </w:r>
    </w:p>
    <w:p>
      <w:pPr>
        <w:pStyle w:val="ListParagraph"/>
        <w:numPr>
          <w:ilvl w:val="0"/>
          <w:numId w:val="6"/>
        </w:numPr>
      </w:pPr>
      <w:r>
        <w:t xml:space="preserve">Easy to version control (git-friendly)</w:t>
      </w:r>
    </w:p>
    <w:p>
      <w:pPr>
        <w:pStyle w:val="ListParagraph"/>
        <w:numPr>
          <w:ilvl w:val="0"/>
          <w:numId w:val="6"/>
        </w:numPr>
      </w:pPr>
      <w:r>
        <w:t xml:space="preserve">Schema validation ensures data integrity</w:t>
      </w:r>
    </w:p>
    <w:p>
      <w:pPr>
        <w:pStyle w:val="ListParagraph"/>
        <w:numPr>
          <w:ilvl w:val="0"/>
          <w:numId w:val="6"/>
        </w:numPr>
        <w:spacing w:after="200"/>
      </w:pPr>
      <w:r>
        <w:t xml:space="preserve">YAML as alternative output format for users who prefer it</w:t>
      </w:r>
    </w:p>
    <w:p>
      <w:pPr>
        <w:pStyle w:val="Heading3"/>
      </w:pPr>
      <w:r>
        <w:t xml:space="preserve">File Structure</w:t>
      </w:r>
    </w:p>
    <w:p>
      <w:pPr>
        <w:shd w:fill="F5F5F5" w:val="clear"/>
        <w:spacing w:before="120" w:after="60"/>
        <w:ind w:left="360" w:right="360"/>
      </w:pPr>
      <w:r>
        <w:rPr>
          <w:rFonts w:ascii="Courier New" w:cs="Courier New" w:eastAsia="Courier New" w:hAnsi="Courier New"/>
          <w:sz w:val="20"/>
          <w:szCs w:val="20"/>
        </w:rPr>
        <w:t xml:space="preserve">~/.envelope/</w:t>
      </w:r>
    </w:p>
    <w:p>
      <w:pPr>
        <w:shd w:fill="F5F5F5" w:val="clear"/>
        <w:ind w:left="360" w:right="360"/>
      </w:pPr>
      <w:r>
        <w:rPr>
          <w:rFonts w:ascii="Courier New" w:cs="Courier New" w:eastAsia="Courier New" w:hAnsi="Courier New"/>
          <w:sz w:val="20"/>
          <w:szCs w:val="20"/>
        </w:rPr>
        <w:t xml:space="preserve">├── config.json          # User preferences, settings</w:t>
      </w:r>
    </w:p>
    <w:p>
      <w:pPr>
        <w:shd w:fill="F5F5F5" w:val="clear"/>
        <w:ind w:left="360" w:right="360"/>
      </w:pPr>
      <w:r>
        <w:rPr>
          <w:rFonts w:ascii="Courier New" w:cs="Courier New" w:eastAsia="Courier New" w:hAnsi="Courier New"/>
          <w:sz w:val="20"/>
          <w:szCs w:val="20"/>
        </w:rPr>
        <w:t xml:space="preserve">├── data/</w:t>
      </w:r>
    </w:p>
    <w:p>
      <w:pPr>
        <w:shd w:fill="F5F5F5" w:val="clear"/>
        <w:ind w:left="360" w:right="360"/>
      </w:pPr>
      <w:r>
        <w:rPr>
          <w:rFonts w:ascii="Courier New" w:cs="Courier New" w:eastAsia="Courier New" w:hAnsi="Courier New"/>
          <w:sz w:val="20"/>
          <w:szCs w:val="20"/>
        </w:rPr>
        <w:t xml:space="preserve">│   ├── accounts.json    # Account definitions</w:t>
      </w:r>
    </w:p>
    <w:p>
      <w:pPr>
        <w:shd w:fill="F5F5F5" w:val="clear"/>
        <w:ind w:left="360" w:right="360"/>
      </w:pPr>
      <w:r>
        <w:rPr>
          <w:rFonts w:ascii="Courier New" w:cs="Courier New" w:eastAsia="Courier New" w:hAnsi="Courier New"/>
          <w:sz w:val="20"/>
          <w:szCs w:val="20"/>
        </w:rPr>
        <w:t xml:space="preserve">│   ├── budget.json      # Category and allocation data</w:t>
      </w:r>
    </w:p>
    <w:p>
      <w:pPr>
        <w:shd w:fill="F5F5F5" w:val="clear"/>
        <w:ind w:left="360" w:right="360"/>
      </w:pPr>
      <w:r>
        <w:rPr>
          <w:rFonts w:ascii="Courier New" w:cs="Courier New" w:eastAsia="Courier New" w:hAnsi="Courier New"/>
          <w:sz w:val="20"/>
          <w:szCs w:val="20"/>
        </w:rPr>
        <w:t xml:space="preserve">│   ├── transactions.json # All transactions</w:t>
      </w:r>
    </w:p>
    <w:p>
      <w:pPr>
        <w:shd w:fill="F5F5F5" w:val="clear"/>
        <w:ind w:left="360" w:right="360"/>
      </w:pPr>
      <w:r>
        <w:rPr>
          <w:rFonts w:ascii="Courier New" w:cs="Courier New" w:eastAsia="Courier New" w:hAnsi="Courier New"/>
          <w:sz w:val="20"/>
          <w:szCs w:val="20"/>
        </w:rPr>
        <w:t xml:space="preserve">│   └── payees.json      # Payee list with auto-categorization rules</w:t>
      </w:r>
    </w:p>
    <w:p>
      <w:pPr>
        <w:shd w:fill="F5F5F5" w:val="clear"/>
        <w:ind w:left="360" w:right="360"/>
      </w:pPr>
      <w:r>
        <w:rPr>
          <w:rFonts w:ascii="Courier New" w:cs="Courier New" w:eastAsia="Courier New" w:hAnsi="Courier New"/>
          <w:sz w:val="20"/>
          <w:szCs w:val="20"/>
        </w:rPr>
        <w:t xml:space="preserve">├── audit.log            # Append-only modification log</w:t>
      </w:r>
    </w:p>
    <w:p>
      <w:pPr>
        <w:shd w:fill="F5F5F5" w:val="clear"/>
        <w:spacing w:after="200"/>
        <w:ind w:left="360" w:right="360"/>
      </w:pPr>
      <w:r>
        <w:rPr>
          <w:rFonts w:ascii="Courier New" w:cs="Courier New" w:eastAsia="Courier New" w:hAnsi="Courier New"/>
          <w:sz w:val="20"/>
          <w:szCs w:val="20"/>
        </w:rPr>
        <w:t xml:space="preserve">└── backups/             # Automatic rolling backups</w:t>
      </w:r>
    </w:p>
    <w:p>
      <w:pPr>
        <w:pStyle w:val="Heading2"/>
      </w:pPr>
      <w:r>
        <w:t xml:space="preserve">8.3 Distribution</w:t>
      </w:r>
    </w:p>
    <w:p>
      <w:pPr>
        <w:pStyle w:val="ListParagraph"/>
        <w:numPr>
          <w:ilvl w:val="0"/>
          <w:numId w:val="6"/>
        </w:numPr>
      </w:pPr>
      <w:r>
        <w:rPr>
          <w:b/>
          <w:bCs/>
        </w:rPr>
        <w:t xml:space="preserve">Primary: </w:t>
      </w:r>
      <w:r>
        <w:t xml:space="preserve">Pre-built binaries for Linux (x64, ARM), macOS (Intel, Apple Silicon), Windows</w:t>
      </w:r>
    </w:p>
    <w:p>
      <w:pPr>
        <w:pStyle w:val="ListParagraph"/>
        <w:numPr>
          <w:ilvl w:val="0"/>
          <w:numId w:val="6"/>
        </w:numPr>
      </w:pPr>
      <w:r>
        <w:rPr>
          <w:b/>
          <w:bCs/>
        </w:rPr>
        <w:t xml:space="preserve">Package Managers: </w:t>
      </w:r>
      <w:r>
        <w:t xml:space="preserve">Homebrew (macOS/Linux), AUR (Arch), Scoop (Windows)</w:t>
      </w:r>
    </w:p>
    <w:p>
      <w:pPr>
        <w:pStyle w:val="ListParagraph"/>
        <w:numPr>
          <w:ilvl w:val="0"/>
          <w:numId w:val="6"/>
        </w:numPr>
      </w:pPr>
      <w:r>
        <w:rPr>
          <w:b/>
          <w:bCs/>
        </w:rPr>
        <w:t xml:space="preserve">Source: </w:t>
      </w:r>
      <w:r>
        <w:t xml:space="preserve">cargo install (Rust) or go install (Go) for building from source</w:t>
      </w:r>
    </w:p>
    <w:p>
      <w:pPr>
        <w:pStyle w:val="ListParagraph"/>
        <w:numPr>
          <w:ilvl w:val="0"/>
          <w:numId w:val="6"/>
        </w:numPr>
        <w:spacing w:after="200"/>
      </w:pPr>
      <w:r>
        <w:rPr>
          <w:b/>
          <w:bCs/>
        </w:rPr>
        <w:t xml:space="preserve">Dependencies: </w:t>
      </w:r>
      <w:r>
        <w:t xml:space="preserve">Zero runtime dependencies for compiled languages</w:t>
      </w:r>
    </w:p>
    <w:p>
      <w:r>
        <w:br w:type="page"/>
      </w:r>
    </w:p>
    <w:p>
      <w:pPr>
        <w:pStyle w:val="Heading1"/>
      </w:pPr>
      <w:r>
        <w:t xml:space="preserve">9. Data Model</w:t>
      </w:r>
    </w:p>
    <w:p>
      <w:pPr>
        <w:pStyle w:val="Heading2"/>
      </w:pPr>
      <w:r>
        <w:t xml:space="preserve">9.1 Core Entities</w:t>
      </w:r>
    </w:p>
    <w:p>
      <w:pPr>
        <w:pStyle w:val="Heading3"/>
      </w:pPr>
      <w:r>
        <w:t xml:space="preserve">Account</w:t>
      </w:r>
    </w:p>
    <w:p>
      <w:pPr>
        <w:shd w:fill="F5F5F5" w:val="clear"/>
        <w:spacing w:before="120" w:after="60"/>
        <w:ind w:left="360" w:right="360"/>
      </w:pPr>
      <w:r>
        <w:rPr>
          <w:rFonts w:ascii="Courier New" w:cs="Courier New" w:eastAsia="Courier New" w:hAnsi="Courier New"/>
          <w:sz w:val="20"/>
          <w:szCs w:val="20"/>
        </w:rPr>
        <w:t xml:space="preserve">{</w:t>
      </w:r>
    </w:p>
    <w:p>
      <w:pPr>
        <w:shd w:fill="F5F5F5" w:val="clear"/>
        <w:ind w:left="360" w:right="360"/>
      </w:pPr>
      <w:r>
        <w:rPr>
          <w:rFonts w:ascii="Courier New" w:cs="Courier New" w:eastAsia="Courier New" w:hAnsi="Courier New"/>
          <w:sz w:val="20"/>
          <w:szCs w:val="20"/>
        </w:rPr>
        <w:t xml:space="preserve">  "id": "uuid",</w:t>
      </w:r>
    </w:p>
    <w:p>
      <w:pPr>
        <w:shd w:fill="F5F5F5" w:val="clear"/>
        <w:ind w:left="360" w:right="360"/>
      </w:pPr>
      <w:r>
        <w:rPr>
          <w:rFonts w:ascii="Courier New" w:cs="Courier New" w:eastAsia="Courier New" w:hAnsi="Courier New"/>
          <w:sz w:val="20"/>
          <w:szCs w:val="20"/>
        </w:rPr>
        <w:t xml:space="preserve">  "name": "Primary Checking",</w:t>
      </w:r>
    </w:p>
    <w:p>
      <w:pPr>
        <w:shd w:fill="F5F5F5" w:val="clear"/>
        <w:ind w:left="360" w:right="360"/>
      </w:pPr>
      <w:r>
        <w:rPr>
          <w:rFonts w:ascii="Courier New" w:cs="Courier New" w:eastAsia="Courier New" w:hAnsi="Courier New"/>
          <w:sz w:val="20"/>
          <w:szCs w:val="20"/>
        </w:rPr>
        <w:t xml:space="preserve">  "type": "checking" | "savings",</w:t>
      </w:r>
    </w:p>
    <w:p>
      <w:pPr>
        <w:shd w:fill="F5F5F5" w:val="clear"/>
        <w:ind w:left="360" w:right="360"/>
      </w:pPr>
      <w:r>
        <w:rPr>
          <w:rFonts w:ascii="Courier New" w:cs="Courier New" w:eastAsia="Courier New" w:hAnsi="Courier New"/>
          <w:sz w:val="20"/>
          <w:szCs w:val="20"/>
        </w:rPr>
        <w:t xml:space="preserve">  "on_budget": true,</w:t>
      </w:r>
    </w:p>
    <w:p>
      <w:pPr>
        <w:shd w:fill="F5F5F5" w:val="clear"/>
        <w:ind w:left="360" w:right="360"/>
      </w:pPr>
      <w:r>
        <w:rPr>
          <w:rFonts w:ascii="Courier New" w:cs="Courier New" w:eastAsia="Courier New" w:hAnsi="Courier New"/>
          <w:sz w:val="20"/>
          <w:szCs w:val="20"/>
        </w:rPr>
        <w:t xml:space="preserve">  "archived": false,</w:t>
      </w:r>
    </w:p>
    <w:p>
      <w:pPr>
        <w:shd w:fill="F5F5F5" w:val="clear"/>
        <w:ind w:left="360" w:right="360"/>
      </w:pPr>
      <w:r>
        <w:rPr>
          <w:rFonts w:ascii="Courier New" w:cs="Courier New" w:eastAsia="Courier New" w:hAnsi="Courier New"/>
          <w:sz w:val="20"/>
          <w:szCs w:val="20"/>
        </w:rPr>
        <w:t xml:space="preserve">  "created_at": "ISO8601",</w:t>
      </w:r>
    </w:p>
    <w:p>
      <w:pPr>
        <w:shd w:fill="F5F5F5" w:val="clear"/>
        <w:ind w:left="360" w:right="360"/>
      </w:pPr>
      <w:r>
        <w:rPr>
          <w:rFonts w:ascii="Courier New" w:cs="Courier New" w:eastAsia="Courier New" w:hAnsi="Courier New"/>
          <w:sz w:val="20"/>
          <w:szCs w:val="20"/>
        </w:rPr>
        <w:t xml:space="preserve">  "last_reconciled_at": "ISO8601" | null,</w:t>
      </w:r>
    </w:p>
    <w:p>
      <w:pPr>
        <w:shd w:fill="F5F5F5" w:val="clear"/>
        <w:ind w:left="360" w:right="360"/>
      </w:pPr>
      <w:r>
        <w:rPr>
          <w:rFonts w:ascii="Courier New" w:cs="Courier New" w:eastAsia="Courier New" w:hAnsi="Courier New"/>
          <w:sz w:val="20"/>
          <w:szCs w:val="20"/>
        </w:rPr>
        <w:t xml:space="preserve">  "last_reconciled_balance": 1500.00 | null</w:t>
      </w:r>
    </w:p>
    <w:p>
      <w:pPr>
        <w:shd w:fill="F5F5F5" w:val="clear"/>
        <w:spacing w:after="200"/>
        <w:ind w:left="360" w:right="360"/>
      </w:pPr>
      <w:r>
        <w:rPr>
          <w:rFonts w:ascii="Courier New" w:cs="Courier New" w:eastAsia="Courier New" w:hAnsi="Courier New"/>
          <w:sz w:val="20"/>
          <w:szCs w:val="20"/>
        </w:rPr>
        <w:t xml:space="preserve">}</w:t>
      </w:r>
    </w:p>
    <w:p>
      <w:pPr>
        <w:pStyle w:val="Heading3"/>
      </w:pPr>
      <w:r>
        <w:t xml:space="preserve">Transaction</w:t>
      </w:r>
    </w:p>
    <w:p>
      <w:pPr>
        <w:shd w:fill="F5F5F5" w:val="clear"/>
        <w:spacing w:before="120" w:after="60"/>
        <w:ind w:left="360" w:right="360"/>
      </w:pPr>
      <w:r>
        <w:rPr>
          <w:rFonts w:ascii="Courier New" w:cs="Courier New" w:eastAsia="Courier New" w:hAnsi="Courier New"/>
          <w:sz w:val="20"/>
          <w:szCs w:val="20"/>
        </w:rPr>
        <w:t xml:space="preserve">{</w:t>
      </w:r>
    </w:p>
    <w:p>
      <w:pPr>
        <w:shd w:fill="F5F5F5" w:val="clear"/>
        <w:ind w:left="360" w:right="360"/>
      </w:pPr>
      <w:r>
        <w:rPr>
          <w:rFonts w:ascii="Courier New" w:cs="Courier New" w:eastAsia="Courier New" w:hAnsi="Courier New"/>
          <w:sz w:val="20"/>
          <w:szCs w:val="20"/>
        </w:rPr>
        <w:t xml:space="preserve">  "id": "uuid",</w:t>
      </w:r>
    </w:p>
    <w:p>
      <w:pPr>
        <w:shd w:fill="F5F5F5" w:val="clear"/>
        <w:ind w:left="360" w:right="360"/>
      </w:pPr>
      <w:r>
        <w:rPr>
          <w:rFonts w:ascii="Courier New" w:cs="Courier New" w:eastAsia="Courier New" w:hAnsi="Courier New"/>
          <w:sz w:val="20"/>
          <w:szCs w:val="20"/>
        </w:rPr>
        <w:t xml:space="preserve">  "account_id": "uuid",</w:t>
      </w:r>
    </w:p>
    <w:p>
      <w:pPr>
        <w:shd w:fill="F5F5F5" w:val="clear"/>
        <w:ind w:left="360" w:right="360"/>
      </w:pPr>
      <w:r>
        <w:rPr>
          <w:rFonts w:ascii="Courier New" w:cs="Courier New" w:eastAsia="Courier New" w:hAnsi="Courier New"/>
          <w:sz w:val="20"/>
          <w:szCs w:val="20"/>
        </w:rPr>
        <w:t xml:space="preserve">  "date": "2025-01-15",</w:t>
      </w:r>
    </w:p>
    <w:p>
      <w:pPr>
        <w:shd w:fill="F5F5F5" w:val="clear"/>
        <w:ind w:left="360" w:right="360"/>
      </w:pPr>
      <w:r>
        <w:rPr>
          <w:rFonts w:ascii="Courier New" w:cs="Courier New" w:eastAsia="Courier New" w:hAnsi="Courier New"/>
          <w:sz w:val="20"/>
          <w:szCs w:val="20"/>
        </w:rPr>
        <w:t xml:space="preserve">  "payee": "Grocery Store",</w:t>
      </w:r>
    </w:p>
    <w:p>
      <w:pPr>
        <w:shd w:fill="F5F5F5" w:val="clear"/>
        <w:ind w:left="360" w:right="360"/>
      </w:pPr>
      <w:r>
        <w:rPr>
          <w:rFonts w:ascii="Courier New" w:cs="Courier New" w:eastAsia="Courier New" w:hAnsi="Courier New"/>
          <w:sz w:val="20"/>
          <w:szCs w:val="20"/>
        </w:rPr>
        <w:t xml:space="preserve">  "memo": "Weekly groceries" | null,</w:t>
      </w:r>
    </w:p>
    <w:p>
      <w:pPr>
        <w:shd w:fill="F5F5F5" w:val="clear"/>
        <w:ind w:left="360" w:right="360"/>
      </w:pPr>
      <w:r>
        <w:rPr>
          <w:rFonts w:ascii="Courier New" w:cs="Courier New" w:eastAsia="Courier New" w:hAnsi="Courier New"/>
          <w:sz w:val="20"/>
          <w:szCs w:val="20"/>
        </w:rPr>
        <w:t xml:space="preserve">  "amount": -85.50,  // negative = outflow</w:t>
      </w:r>
    </w:p>
    <w:p>
      <w:pPr>
        <w:shd w:fill="F5F5F5" w:val="clear"/>
        <w:ind w:left="360" w:right="360"/>
      </w:pPr>
      <w:r>
        <w:rPr>
          <w:rFonts w:ascii="Courier New" w:cs="Courier New" w:eastAsia="Courier New" w:hAnsi="Courier New"/>
          <w:sz w:val="20"/>
          <w:szCs w:val="20"/>
        </w:rPr>
        <w:t xml:space="preserve">  "category_id": "uuid" | null,  // null for splits</w:t>
      </w:r>
    </w:p>
    <w:p>
      <w:pPr>
        <w:shd w:fill="F5F5F5" w:val="clear"/>
        <w:ind w:left="360" w:right="360"/>
      </w:pPr>
      <w:r>
        <w:rPr>
          <w:rFonts w:ascii="Courier New" w:cs="Courier New" w:eastAsia="Courier New" w:hAnsi="Courier New"/>
          <w:sz w:val="20"/>
          <w:szCs w:val="20"/>
        </w:rPr>
        <w:t xml:space="preserve">  "splits": [{ "category_id": "uuid", "amount": -50.00 }, ...] | null,</w:t>
      </w:r>
    </w:p>
    <w:p>
      <w:pPr>
        <w:shd w:fill="F5F5F5" w:val="clear"/>
        <w:ind w:left="360" w:right="360"/>
      </w:pPr>
      <w:r>
        <w:rPr>
          <w:rFonts w:ascii="Courier New" w:cs="Courier New" w:eastAsia="Courier New" w:hAnsi="Courier New"/>
          <w:sz w:val="20"/>
          <w:szCs w:val="20"/>
        </w:rPr>
        <w:t xml:space="preserve">  "status": "pending" | "cleared" | "reconciled",</w:t>
      </w:r>
    </w:p>
    <w:p>
      <w:pPr>
        <w:shd w:fill="F5F5F5" w:val="clear"/>
        <w:ind w:left="360" w:right="360"/>
      </w:pPr>
      <w:r>
        <w:rPr>
          <w:rFonts w:ascii="Courier New" w:cs="Courier New" w:eastAsia="Courier New" w:hAnsi="Courier New"/>
          <w:sz w:val="20"/>
          <w:szCs w:val="20"/>
        </w:rPr>
        <w:t xml:space="preserve">  "transfer_id": "uuid" | null,  // links transfer pairs</w:t>
      </w:r>
    </w:p>
    <w:p>
      <w:pPr>
        <w:shd w:fill="F5F5F5" w:val="clear"/>
        <w:ind w:left="360" w:right="360"/>
      </w:pPr>
      <w:r>
        <w:rPr>
          <w:rFonts w:ascii="Courier New" w:cs="Courier New" w:eastAsia="Courier New" w:hAnsi="Courier New"/>
          <w:sz w:val="20"/>
          <w:szCs w:val="20"/>
        </w:rPr>
        <w:t xml:space="preserve">  "import_id": "string" | null,  // deduplication key from imports</w:t>
      </w:r>
    </w:p>
    <w:p>
      <w:pPr>
        <w:shd w:fill="F5F5F5" w:val="clear"/>
        <w:ind w:left="360" w:right="360"/>
      </w:pPr>
      <w:r>
        <w:rPr>
          <w:rFonts w:ascii="Courier New" w:cs="Courier New" w:eastAsia="Courier New" w:hAnsi="Courier New"/>
          <w:sz w:val="20"/>
          <w:szCs w:val="20"/>
        </w:rPr>
        <w:t xml:space="preserve">  "created_at": "ISO8601",</w:t>
      </w:r>
    </w:p>
    <w:p>
      <w:pPr>
        <w:shd w:fill="F5F5F5" w:val="clear"/>
        <w:ind w:left="360" w:right="360"/>
      </w:pPr>
      <w:r>
        <w:rPr>
          <w:rFonts w:ascii="Courier New" w:cs="Courier New" w:eastAsia="Courier New" w:hAnsi="Courier New"/>
          <w:sz w:val="20"/>
          <w:szCs w:val="20"/>
        </w:rPr>
        <w:t xml:space="preserve">  "updated_at": "ISO8601"</w:t>
      </w:r>
    </w:p>
    <w:p>
      <w:pPr>
        <w:shd w:fill="F5F5F5" w:val="clear"/>
        <w:spacing w:after="200"/>
        <w:ind w:left="360" w:right="360"/>
      </w:pPr>
      <w:r>
        <w:rPr>
          <w:rFonts w:ascii="Courier New" w:cs="Courier New" w:eastAsia="Courier New" w:hAnsi="Courier New"/>
          <w:sz w:val="20"/>
          <w:szCs w:val="20"/>
        </w:rPr>
        <w:t xml:space="preserve">}</w:t>
      </w:r>
    </w:p>
    <w:p>
      <w:pPr>
        <w:pStyle w:val="Heading3"/>
      </w:pPr>
      <w:r>
        <w:t xml:space="preserve">Category</w:t>
      </w:r>
    </w:p>
    <w:p>
      <w:pPr>
        <w:shd w:fill="F5F5F5" w:val="clear"/>
        <w:spacing w:before="120" w:after="60"/>
        <w:ind w:left="360" w:right="360"/>
      </w:pPr>
      <w:r>
        <w:rPr>
          <w:rFonts w:ascii="Courier New" w:cs="Courier New" w:eastAsia="Courier New" w:hAnsi="Courier New"/>
          <w:sz w:val="20"/>
          <w:szCs w:val="20"/>
        </w:rPr>
        <w:t xml:space="preserve">{</w:t>
      </w:r>
    </w:p>
    <w:p>
      <w:pPr>
        <w:shd w:fill="F5F5F5" w:val="clear"/>
        <w:ind w:left="360" w:right="360"/>
      </w:pPr>
      <w:r>
        <w:rPr>
          <w:rFonts w:ascii="Courier New" w:cs="Courier New" w:eastAsia="Courier New" w:hAnsi="Courier New"/>
          <w:sz w:val="20"/>
          <w:szCs w:val="20"/>
        </w:rPr>
        <w:t xml:space="preserve">  "id": "uuid",</w:t>
      </w:r>
    </w:p>
    <w:p>
      <w:pPr>
        <w:shd w:fill="F5F5F5" w:val="clear"/>
        <w:ind w:left="360" w:right="360"/>
      </w:pPr>
      <w:r>
        <w:rPr>
          <w:rFonts w:ascii="Courier New" w:cs="Courier New" w:eastAsia="Courier New" w:hAnsi="Courier New"/>
          <w:sz w:val="20"/>
          <w:szCs w:val="20"/>
        </w:rPr>
        <w:t xml:space="preserve">  "group_id": "uuid",</w:t>
      </w:r>
    </w:p>
    <w:p>
      <w:pPr>
        <w:shd w:fill="F5F5F5" w:val="clear"/>
        <w:ind w:left="360" w:right="360"/>
      </w:pPr>
      <w:r>
        <w:rPr>
          <w:rFonts w:ascii="Courier New" w:cs="Courier New" w:eastAsia="Courier New" w:hAnsi="Courier New"/>
          <w:sz w:val="20"/>
          <w:szCs w:val="20"/>
        </w:rPr>
        <w:t xml:space="preserve">  "name": "Groceries",</w:t>
      </w:r>
    </w:p>
    <w:p>
      <w:pPr>
        <w:shd w:fill="F5F5F5" w:val="clear"/>
        <w:ind w:left="360" w:right="360"/>
      </w:pPr>
      <w:r>
        <w:rPr>
          <w:rFonts w:ascii="Courier New" w:cs="Courier New" w:eastAsia="Courier New" w:hAnsi="Courier New"/>
          <w:sz w:val="20"/>
          <w:szCs w:val="20"/>
        </w:rPr>
        <w:t xml:space="preserve">  "sort_order": 1,</w:t>
      </w:r>
    </w:p>
    <w:p>
      <w:pPr>
        <w:shd w:fill="F5F5F5" w:val="clear"/>
        <w:ind w:left="360" w:right="360"/>
      </w:pPr>
      <w:r>
        <w:rPr>
          <w:rFonts w:ascii="Courier New" w:cs="Courier New" w:eastAsia="Courier New" w:hAnsi="Courier New"/>
          <w:sz w:val="20"/>
          <w:szCs w:val="20"/>
        </w:rPr>
        <w:t xml:space="preserve">  "hidden": false</w:t>
      </w:r>
    </w:p>
    <w:p>
      <w:pPr>
        <w:shd w:fill="F5F5F5" w:val="clear"/>
        <w:spacing w:after="200"/>
        <w:ind w:left="360" w:right="360"/>
      </w:pPr>
      <w:r>
        <w:rPr>
          <w:rFonts w:ascii="Courier New" w:cs="Courier New" w:eastAsia="Courier New" w:hAnsi="Courier New"/>
          <w:sz w:val="20"/>
          <w:szCs w:val="20"/>
        </w:rPr>
        <w:t xml:space="preserve">}</w:t>
      </w:r>
    </w:p>
    <w:p>
      <w:pPr>
        <w:pStyle w:val="Heading3"/>
      </w:pPr>
      <w:r>
        <w:t xml:space="preserve">Budget Allocation (per period)</w:t>
      </w:r>
    </w:p>
    <w:p>
      <w:pPr>
        <w:shd w:fill="F5F5F5" w:val="clear"/>
        <w:spacing w:before="120" w:after="60"/>
        <w:ind w:left="360" w:right="360"/>
      </w:pPr>
      <w:r>
        <w:rPr>
          <w:rFonts w:ascii="Courier New" w:cs="Courier New" w:eastAsia="Courier New" w:hAnsi="Courier New"/>
          <w:sz w:val="20"/>
          <w:szCs w:val="20"/>
        </w:rPr>
        <w:t xml:space="preserve">{</w:t>
      </w:r>
    </w:p>
    <w:p>
      <w:pPr>
        <w:shd w:fill="F5F5F5" w:val="clear"/>
        <w:ind w:left="360" w:right="360"/>
      </w:pPr>
      <w:r>
        <w:rPr>
          <w:rFonts w:ascii="Courier New" w:cs="Courier New" w:eastAsia="Courier New" w:hAnsi="Courier New"/>
          <w:sz w:val="20"/>
          <w:szCs w:val="20"/>
        </w:rPr>
        <w:t xml:space="preserve">  "category_id": "uuid",</w:t>
      </w:r>
    </w:p>
    <w:p>
      <w:pPr>
        <w:shd w:fill="F5F5F5" w:val="clear"/>
        <w:ind w:left="360" w:right="360"/>
      </w:pPr>
      <w:r>
        <w:rPr>
          <w:rFonts w:ascii="Courier New" w:cs="Courier New" w:eastAsia="Courier New" w:hAnsi="Courier New"/>
          <w:sz w:val="20"/>
          <w:szCs w:val="20"/>
        </w:rPr>
        <w:t xml:space="preserve">  "period": "2025-01" | "2025-W03" | "2025-01-01:2025-01-14",</w:t>
      </w:r>
    </w:p>
    <w:p>
      <w:pPr>
        <w:shd w:fill="F5F5F5" w:val="clear"/>
        <w:ind w:left="360" w:right="360"/>
      </w:pPr>
      <w:r>
        <w:rPr>
          <w:rFonts w:ascii="Courier New" w:cs="Courier New" w:eastAsia="Courier New" w:hAnsi="Courier New"/>
          <w:sz w:val="20"/>
          <w:szCs w:val="20"/>
        </w:rPr>
        <w:t xml:space="preserve">  "budgeted": 400.00,</w:t>
      </w:r>
    </w:p>
    <w:p>
      <w:pPr>
        <w:shd w:fill="F5F5F5" w:val="clear"/>
        <w:ind w:left="360" w:right="360"/>
      </w:pPr>
      <w:r>
        <w:rPr>
          <w:rFonts w:ascii="Courier New" w:cs="Courier New" w:eastAsia="Courier New" w:hAnsi="Courier New"/>
          <w:sz w:val="20"/>
          <w:szCs w:val="20"/>
        </w:rPr>
        <w:t xml:space="preserve">  "carryover": 25.50  // rolled over from previous period</w:t>
      </w:r>
    </w:p>
    <w:p>
      <w:pPr>
        <w:shd w:fill="F5F5F5" w:val="clear"/>
        <w:spacing w:after="200"/>
        <w:ind w:left="360" w:right="360"/>
      </w:pPr>
      <w:r>
        <w:rPr>
          <w:rFonts w:ascii="Courier New" w:cs="Courier New" w:eastAsia="Courier New" w:hAnsi="Courier New"/>
          <w:sz w:val="20"/>
          <w:szCs w:val="20"/>
        </w:rPr>
        <w:t xml:space="preserve">}</w:t>
      </w:r>
    </w:p>
    <w:p>
      <w:r>
        <w:br w:type="page"/>
      </w:r>
    </w:p>
    <w:p>
      <w:pPr>
        <w:pStyle w:val="Heading1"/>
      </w:pPr>
      <w:r>
        <w:t xml:space="preserve">10. Security &amp; Privacy Requirements</w:t>
      </w:r>
    </w:p>
    <w:p>
      <w:pPr>
        <w:pStyle w:val="Heading2"/>
      </w:pPr>
      <w:r>
        <w:t xml:space="preserve">10.1 Data Protection</w:t>
      </w:r>
    </w:p>
    <w:p>
      <w:pPr>
        <w:pStyle w:val="ListParagraph"/>
        <w:numPr>
          <w:ilvl w:val="0"/>
          <w:numId w:val="7"/>
        </w:numPr>
      </w:pPr>
      <w:r>
        <w:rPr>
          <w:b/>
          <w:bCs/>
        </w:rPr>
        <w:t xml:space="preserve">SEC-01: </w:t>
      </w:r>
      <w:r>
        <w:t xml:space="preserve">All data files shall be stored locally; no network transmission without explicit user action</w:t>
      </w:r>
    </w:p>
    <w:p>
      <w:pPr>
        <w:pStyle w:val="ListParagraph"/>
        <w:numPr>
          <w:ilvl w:val="0"/>
          <w:numId w:val="7"/>
        </w:numPr>
      </w:pPr>
      <w:r>
        <w:rPr>
          <w:b/>
          <w:bCs/>
        </w:rPr>
        <w:t xml:space="preserve">SEC-02: </w:t>
      </w:r>
      <w:r>
        <w:t xml:space="preserve">Optional encryption at rest using AES-256-GCM with user-provided passphrase</w:t>
      </w:r>
    </w:p>
    <w:p>
      <w:pPr>
        <w:pStyle w:val="ListParagraph"/>
        <w:numPr>
          <w:ilvl w:val="0"/>
          <w:numId w:val="7"/>
        </w:numPr>
      </w:pPr>
      <w:r>
        <w:rPr>
          <w:b/>
          <w:bCs/>
        </w:rPr>
        <w:t xml:space="preserve">SEC-03: </w:t>
      </w:r>
      <w:r>
        <w:t xml:space="preserve">Key derivation using Argon2id for passphrase-based encryption</w:t>
      </w:r>
    </w:p>
    <w:p>
      <w:pPr>
        <w:pStyle w:val="ListParagraph"/>
        <w:numPr>
          <w:ilvl w:val="0"/>
          <w:numId w:val="7"/>
        </w:numPr>
        <w:spacing w:after="200"/>
      </w:pPr>
      <w:r>
        <w:rPr>
          <w:b/>
          <w:bCs/>
        </w:rPr>
        <w:t xml:space="preserve">SEC-04: </w:t>
      </w:r>
      <w:r>
        <w:t xml:space="preserve">Memory shall be cleared of sensitive data (amounts, account numbers) when no longer needed</w:t>
      </w:r>
    </w:p>
    <w:p>
      <w:pPr>
        <w:pStyle w:val="Heading2"/>
      </w:pPr>
      <w:r>
        <w:t xml:space="preserve">10.2 Audit &amp; Integrity</w:t>
      </w:r>
    </w:p>
    <w:p>
      <w:pPr>
        <w:pStyle w:val="ListParagraph"/>
        <w:numPr>
          <w:ilvl w:val="0"/>
          <w:numId w:val="7"/>
        </w:numPr>
      </w:pPr>
      <w:r>
        <w:rPr>
          <w:b/>
          <w:bCs/>
        </w:rPr>
        <w:t xml:space="preserve">SEC-05: </w:t>
      </w:r>
      <w:r>
        <w:t xml:space="preserve">Append-only audit log recording all create, update, delete operations</w:t>
      </w:r>
    </w:p>
    <w:p>
      <w:pPr>
        <w:pStyle w:val="ListParagraph"/>
        <w:numPr>
          <w:ilvl w:val="0"/>
          <w:numId w:val="7"/>
        </w:numPr>
      </w:pPr>
      <w:r>
        <w:rPr>
          <w:b/>
          <w:bCs/>
        </w:rPr>
        <w:t xml:space="preserve">SEC-06: </w:t>
      </w:r>
      <w:r>
        <w:t xml:space="preserve">Audit entries include timestamp, operation type, entity ID, and before/after values</w:t>
      </w:r>
    </w:p>
    <w:p>
      <w:pPr>
        <w:pStyle w:val="ListParagraph"/>
        <w:numPr>
          <w:ilvl w:val="0"/>
          <w:numId w:val="7"/>
        </w:numPr>
      </w:pPr>
      <w:r>
        <w:rPr>
          <w:b/>
          <w:bCs/>
        </w:rPr>
        <w:t xml:space="preserve">SEC-07: </w:t>
      </w:r>
      <w:r>
        <w:t xml:space="preserve">Automatic backup before any destructive operation</w:t>
      </w:r>
    </w:p>
    <w:p>
      <w:pPr>
        <w:pStyle w:val="ListParagraph"/>
        <w:numPr>
          <w:ilvl w:val="0"/>
          <w:numId w:val="7"/>
        </w:numPr>
        <w:spacing w:after="200"/>
      </w:pPr>
      <w:r>
        <w:rPr>
          <w:b/>
          <w:bCs/>
        </w:rPr>
        <w:t xml:space="preserve">SEC-08: </w:t>
      </w:r>
      <w:r>
        <w:t xml:space="preserve">Rolling backup retention (configurable: default 30 daily + 12 monthly)</w:t>
      </w:r>
    </w:p>
    <w:p>
      <w:pPr>
        <w:pStyle w:val="Heading2"/>
      </w:pPr>
      <w:r>
        <w:t xml:space="preserve">10.3 Data Portability</w:t>
      </w:r>
    </w:p>
    <w:p>
      <w:pPr>
        <w:pStyle w:val="ListParagraph"/>
        <w:numPr>
          <w:ilvl w:val="0"/>
          <w:numId w:val="7"/>
        </w:numPr>
      </w:pPr>
      <w:r>
        <w:rPr>
          <w:b/>
          <w:bCs/>
        </w:rPr>
        <w:t xml:space="preserve">SEC-09: </w:t>
      </w:r>
      <w:r>
        <w:t xml:space="preserve">Full data export to CSV (transactions, budget allocations, account balances)</w:t>
      </w:r>
    </w:p>
    <w:p>
      <w:pPr>
        <w:pStyle w:val="ListParagraph"/>
        <w:numPr>
          <w:ilvl w:val="0"/>
          <w:numId w:val="7"/>
        </w:numPr>
      </w:pPr>
      <w:r>
        <w:rPr>
          <w:b/>
          <w:bCs/>
        </w:rPr>
        <w:t xml:space="preserve">SEC-10: </w:t>
      </w:r>
      <w:r>
        <w:t xml:space="preserve">JSON/YAML export preserving all data and relationships</w:t>
      </w:r>
    </w:p>
    <w:p>
      <w:pPr>
        <w:pStyle w:val="ListParagraph"/>
        <w:numPr>
          <w:ilvl w:val="0"/>
          <w:numId w:val="7"/>
        </w:numPr>
        <w:spacing w:after="200"/>
      </w:pPr>
      <w:r>
        <w:rPr>
          <w:b/>
          <w:bCs/>
        </w:rPr>
        <w:t xml:space="preserve">SEC-11: </w:t>
      </w:r>
      <w:r>
        <w:t xml:space="preserve">Data format shall be documented with versioned schema</w:t>
      </w:r>
    </w:p>
    <w:p>
      <w:pPr>
        <w:pStyle w:val="Heading1"/>
      </w:pPr>
      <w:r>
        <w:t xml:space="preserve">11. Core User Workflows</w:t>
      </w:r>
    </w:p>
    <w:p>
      <w:pPr>
        <w:pStyle w:val="Heading2"/>
      </w:pPr>
      <w:r>
        <w:t xml:space="preserve">11.1 Initial Setup</w:t>
      </w:r>
    </w:p>
    <w:p>
      <w:pPr>
        <w:pStyle w:val="ListParagraph"/>
        <w:numPr>
          <w:ilvl w:val="0"/>
          <w:numId w:val="8"/>
        </w:numPr>
      </w:pPr>
      <w:r>
        <w:t xml:space="preserve">User runs installation command or downloads binary</w:t>
      </w:r>
    </w:p>
    <w:p>
      <w:pPr>
        <w:pStyle w:val="ListParagraph"/>
        <w:numPr>
          <w:ilvl w:val="0"/>
          <w:numId w:val="8"/>
        </w:numPr>
      </w:pPr>
      <w:r>
        <w:t xml:space="preserve">First run triggers setup wizard (TUI) or prompts for setup command</w:t>
      </w:r>
    </w:p>
    <w:p>
      <w:pPr>
        <w:pStyle w:val="ListParagraph"/>
        <w:numPr>
          <w:ilvl w:val="0"/>
          <w:numId w:val="8"/>
        </w:numPr>
      </w:pPr>
      <w:r>
        <w:t xml:space="preserve">User creates first account (checking) with starting balance</w:t>
      </w:r>
    </w:p>
    <w:p>
      <w:pPr>
        <w:pStyle w:val="ListParagraph"/>
        <w:numPr>
          <w:ilvl w:val="0"/>
          <w:numId w:val="8"/>
        </w:numPr>
      </w:pPr>
      <w:r>
        <w:t xml:space="preserve">System creates default category groups (Bills, Needs, Wants, Savings) or user defines custom</w:t>
      </w:r>
    </w:p>
    <w:p>
      <w:pPr>
        <w:pStyle w:val="ListParagraph"/>
        <w:numPr>
          <w:ilvl w:val="0"/>
          <w:numId w:val="8"/>
        </w:numPr>
      </w:pPr>
      <w:r>
        <w:t xml:space="preserve">User selects budget period preference (weekly, bi-weekly, monthly, custom)</w:t>
      </w:r>
    </w:p>
    <w:p>
      <w:pPr>
        <w:pStyle w:val="ListParagraph"/>
        <w:numPr>
          <w:ilvl w:val="0"/>
          <w:numId w:val="8"/>
        </w:numPr>
        <w:spacing w:after="200"/>
      </w:pPr>
      <w:r>
        <w:t xml:space="preserve">Starting balance appears as "Available to Budget"</w:t>
      </w:r>
    </w:p>
    <w:p>
      <w:pPr>
        <w:pStyle w:val="Heading2"/>
      </w:pPr>
      <w:r>
        <w:t xml:space="preserve">11.2 Daily Transaction Entry</w:t>
      </w:r>
    </w:p>
    <w:p>
      <w:pPr>
        <w:pStyle w:val="ListParagraph"/>
        <w:numPr>
          <w:ilvl w:val="0"/>
          <w:numId w:val="8"/>
        </w:numPr>
      </w:pPr>
      <w:r>
        <w:t xml:space="preserve">User presses 'a' in TUI or runs 'envelope add txn'</w:t>
      </w:r>
    </w:p>
    <w:p>
      <w:pPr>
        <w:pStyle w:val="ListParagraph"/>
        <w:numPr>
          <w:ilvl w:val="0"/>
          <w:numId w:val="8"/>
        </w:numPr>
      </w:pPr>
      <w:r>
        <w:t xml:space="preserve">Enters payee (autocomplete from history)</w:t>
      </w:r>
    </w:p>
    <w:p>
      <w:pPr>
        <w:pStyle w:val="ListParagraph"/>
        <w:numPr>
          <w:ilvl w:val="0"/>
          <w:numId w:val="8"/>
        </w:numPr>
      </w:pPr>
      <w:r>
        <w:t xml:space="preserve">Enters amount (auto-detects inflow/outflow from sign)</w:t>
      </w:r>
    </w:p>
    <w:p>
      <w:pPr>
        <w:pStyle w:val="ListParagraph"/>
        <w:numPr>
          <w:ilvl w:val="0"/>
          <w:numId w:val="8"/>
        </w:numPr>
      </w:pPr>
      <w:r>
        <w:t xml:space="preserve">Selects category (auto-suggested based on payee history)</w:t>
      </w:r>
    </w:p>
    <w:p>
      <w:pPr>
        <w:pStyle w:val="ListParagraph"/>
        <w:numPr>
          <w:ilvl w:val="0"/>
          <w:numId w:val="8"/>
        </w:numPr>
        <w:spacing w:after="200"/>
      </w:pPr>
      <w:r>
        <w:t xml:space="preserve">Transaction saved; category available balance updates immediately</w:t>
      </w:r>
    </w:p>
    <w:p>
      <w:pPr>
        <w:pStyle w:val="Heading2"/>
      </w:pPr>
      <w:r>
        <w:t xml:space="preserve">11.3 Budget Period Start</w:t>
      </w:r>
    </w:p>
    <w:p>
      <w:pPr>
        <w:pStyle w:val="ListParagraph"/>
        <w:numPr>
          <w:ilvl w:val="0"/>
          <w:numId w:val="8"/>
        </w:numPr>
      </w:pPr>
      <w:r>
        <w:t xml:space="preserve">User navigates to budget view</w:t>
      </w:r>
    </w:p>
    <w:p>
      <w:pPr>
        <w:pStyle w:val="ListParagraph"/>
        <w:numPr>
          <w:ilvl w:val="0"/>
          <w:numId w:val="8"/>
        </w:numPr>
      </w:pPr>
      <w:r>
        <w:t xml:space="preserve">System shows "Available to Budget" (income minus assigned)</w:t>
      </w:r>
    </w:p>
    <w:p>
      <w:pPr>
        <w:pStyle w:val="ListParagraph"/>
        <w:numPr>
          <w:ilvl w:val="0"/>
          <w:numId w:val="8"/>
        </w:numPr>
      </w:pPr>
      <w:r>
        <w:t xml:space="preserve">User assigns funds to each category until Available reaches $0</w:t>
      </w:r>
    </w:p>
    <w:p>
      <w:pPr>
        <w:pStyle w:val="ListParagraph"/>
        <w:numPr>
          <w:ilvl w:val="0"/>
          <w:numId w:val="8"/>
        </w:numPr>
      </w:pPr>
      <w:r>
        <w:t xml:space="preserve">Overspent categories from previous period highlighted for coverage</w:t>
      </w:r>
    </w:p>
    <w:p>
      <w:pPr>
        <w:pStyle w:val="ListParagraph"/>
        <w:numPr>
          <w:ilvl w:val="0"/>
          <w:numId w:val="8"/>
        </w:numPr>
        <w:spacing w:after="200"/>
      </w:pPr>
      <w:r>
        <w:t xml:space="preserve">Budget is "complete" when Available to Budget = $0</w:t>
      </w:r>
    </w:p>
    <w:p>
      <w:pPr>
        <w:pStyle w:val="Heading2"/>
      </w:pPr>
      <w:r>
        <w:t xml:space="preserve">11.4 CSV Import</w:t>
      </w:r>
    </w:p>
    <w:p>
      <w:pPr>
        <w:pStyle w:val="ListParagraph"/>
        <w:numPr>
          <w:ilvl w:val="0"/>
          <w:numId w:val="8"/>
        </w:numPr>
      </w:pPr>
      <w:r>
        <w:t xml:space="preserve">User runs 'envelope import ~/bank-export.csv --account checking'</w:t>
      </w:r>
    </w:p>
    <w:p>
      <w:pPr>
        <w:pStyle w:val="ListParagraph"/>
        <w:numPr>
          <w:ilvl w:val="0"/>
          <w:numId w:val="8"/>
        </w:numPr>
      </w:pPr>
      <w:r>
        <w:t xml:space="preserve">System detects CSV format or prompts for column mapping</w:t>
      </w:r>
    </w:p>
    <w:p>
      <w:pPr>
        <w:pStyle w:val="ListParagraph"/>
        <w:numPr>
          <w:ilvl w:val="0"/>
          <w:numId w:val="8"/>
        </w:numPr>
      </w:pPr>
      <w:r>
        <w:t xml:space="preserve">Preview shows parsed transactions with detected duplicates flagged</w:t>
      </w:r>
    </w:p>
    <w:p>
      <w:pPr>
        <w:pStyle w:val="ListParagraph"/>
        <w:numPr>
          <w:ilvl w:val="0"/>
          <w:numId w:val="8"/>
        </w:numPr>
      </w:pPr>
      <w:r>
        <w:t xml:space="preserve">User confirms import (all, skip duplicates, or select specific)</w:t>
      </w:r>
    </w:p>
    <w:p>
      <w:pPr>
        <w:pStyle w:val="ListParagraph"/>
        <w:numPr>
          <w:ilvl w:val="0"/>
          <w:numId w:val="8"/>
        </w:numPr>
        <w:spacing w:after="200"/>
      </w:pPr>
      <w:r>
        <w:t xml:space="preserve">Imported transactions appear uncategorized; user categorizes via bulk edit</w:t>
      </w:r>
    </w:p>
    <w:p>
      <w:pPr>
        <w:pStyle w:val="Heading2"/>
      </w:pPr>
      <w:r>
        <w:t xml:space="preserve">11.5 Account Reconciliation</w:t>
      </w:r>
    </w:p>
    <w:p>
      <w:pPr>
        <w:pStyle w:val="ListParagraph"/>
        <w:numPr>
          <w:ilvl w:val="0"/>
          <w:numId w:val="8"/>
        </w:numPr>
      </w:pPr>
      <w:r>
        <w:t xml:space="preserve">User runs 'envelope reconcile checking' or uses TUI</w:t>
      </w:r>
    </w:p>
    <w:p>
      <w:pPr>
        <w:pStyle w:val="ListParagraph"/>
        <w:numPr>
          <w:ilvl w:val="0"/>
          <w:numId w:val="8"/>
        </w:numPr>
      </w:pPr>
      <w:r>
        <w:t xml:space="preserve">Enters statement ending date and balance</w:t>
      </w:r>
    </w:p>
    <w:p>
      <w:pPr>
        <w:pStyle w:val="ListParagraph"/>
        <w:numPr>
          <w:ilvl w:val="0"/>
          <w:numId w:val="8"/>
        </w:numPr>
      </w:pPr>
      <w:r>
        <w:t xml:space="preserve">System shows uncleared transactions and difference from statement</w:t>
      </w:r>
    </w:p>
    <w:p>
      <w:pPr>
        <w:pStyle w:val="ListParagraph"/>
        <w:numPr>
          <w:ilvl w:val="0"/>
          <w:numId w:val="8"/>
        </w:numPr>
      </w:pPr>
      <w:r>
        <w:t xml:space="preserve">User marks transactions as cleared (c key or checkbox)</w:t>
      </w:r>
    </w:p>
    <w:p>
      <w:pPr>
        <w:pStyle w:val="ListParagraph"/>
        <w:numPr>
          <w:ilvl w:val="0"/>
          <w:numId w:val="8"/>
        </w:numPr>
      </w:pPr>
      <w:r>
        <w:t xml:space="preserve">When difference = $0, user completes reconciliation</w:t>
      </w:r>
    </w:p>
    <w:p>
      <w:pPr>
        <w:pStyle w:val="ListParagraph"/>
        <w:numPr>
          <w:ilvl w:val="0"/>
          <w:numId w:val="8"/>
        </w:numPr>
        <w:spacing w:after="200"/>
      </w:pPr>
      <w:r>
        <w:t xml:space="preserve">Cleared transactions locked; reconciliation timestamp recorded</w:t>
      </w:r>
    </w:p>
    <w:p>
      <w:r>
        <w:br w:type="page"/>
      </w:r>
    </w:p>
    <w:p>
      <w:pPr>
        <w:pStyle w:val="Heading1"/>
      </w:pPr>
      <w:r>
        <w:t xml:space="preserve">12. Development Timeline</w:t>
      </w:r>
    </w:p>
    <w:p>
      <w:pPr>
        <w:spacing w:after="120"/>
      </w:pPr>
      <w:r>
        <w:rPr>
          <w:b w:val="false"/>
          <w:bCs w:val="false"/>
          <w:i w:val="false"/>
          <w:iCs w:val="false"/>
          <w:sz w:val="22"/>
          <w:szCs w:val="22"/>
        </w:rPr>
        <w:t xml:space="preserve">Estimated timeline for MVP delivery: 10-14 weeks</w:t>
      </w:r>
    </w:p>
    <w:p>
      <w:pPr>
        <w:spacing w:after="120"/>
      </w:pPr>
    </w:p>
    <w:tbl>
      <w:tblPr>
        <w:tblW w:type="auto" w:w="100"/>
        <w:tblBorders>
          <w:top w:val="single" w:color="auto" w:sz="4"/>
          <w:left w:val="single" w:color="auto" w:sz="4"/>
          <w:bottom w:val="single" w:color="auto" w:sz="4"/>
          <w:right w:val="single" w:color="auto" w:sz="4"/>
          <w:insideH w:val="single" w:color="auto" w:sz="4"/>
          <w:insideV w:val="single" w:color="auto" w:sz="4"/>
        </w:tblBorders>
      </w:tblPr>
      <w:tblGrid>
        <w:gridCol w:w="1800"/>
        <w:gridCol w:w="4680"/>
        <w:gridCol w:w="2880"/>
      </w:tblGrid>
      <w:tr>
        <w:tc>
          <w:tcPr>
            <w:tcW w:type="dxa" w:w="1800"/>
            <w:tcBorders>
              <w:top w:val="single" w:color="CCCCCC" w:sz="1"/>
              <w:left w:val="single" w:color="CCCCCC" w:sz="1"/>
              <w:bottom w:val="single" w:color="CCCCCC" w:sz="1"/>
              <w:right w:val="single" w:color="CCCCCC" w:sz="1"/>
            </w:tcBorders>
            <w:shd w:fill="E8F4F8" w:val="clear"/>
          </w:tcPr>
          <w:p>
            <w:pPr>
              <w:jc w:val="left"/>
            </w:pPr>
            <w:r>
              <w:rPr>
                <w:b/>
                <w:bCs/>
                <w:sz w:val="22"/>
                <w:szCs w:val="22"/>
              </w:rPr>
              <w:t xml:space="preserve">Phase</w:t>
            </w:r>
          </w:p>
        </w:tc>
        <w:tc>
          <w:tcPr>
            <w:tcW w:type="dxa" w:w="4680"/>
            <w:tcBorders>
              <w:top w:val="single" w:color="CCCCCC" w:sz="1"/>
              <w:left w:val="single" w:color="CCCCCC" w:sz="1"/>
              <w:bottom w:val="single" w:color="CCCCCC" w:sz="1"/>
              <w:right w:val="single" w:color="CCCCCC" w:sz="1"/>
            </w:tcBorders>
            <w:shd w:fill="E8F4F8" w:val="clear"/>
          </w:tcPr>
          <w:p>
            <w:pPr>
              <w:jc w:val="left"/>
            </w:pPr>
            <w:r>
              <w:rPr>
                <w:b/>
                <w:bCs/>
                <w:sz w:val="22"/>
                <w:szCs w:val="22"/>
              </w:rPr>
              <w:t xml:space="preserve">Deliverables</w:t>
            </w:r>
          </w:p>
        </w:tc>
        <w:tc>
          <w:tcPr>
            <w:tcW w:type="dxa" w:w="2880"/>
            <w:tcBorders>
              <w:top w:val="single" w:color="CCCCCC" w:sz="1"/>
              <w:left w:val="single" w:color="CCCCCC" w:sz="1"/>
              <w:bottom w:val="single" w:color="CCCCCC" w:sz="1"/>
              <w:right w:val="single" w:color="CCCCCC" w:sz="1"/>
            </w:tcBorders>
            <w:shd w:fill="E8F4F8" w:val="clear"/>
          </w:tcPr>
          <w:p>
            <w:pPr>
              <w:jc w:val="left"/>
            </w:pPr>
            <w:r>
              <w:rPr>
                <w:b/>
                <w:bCs/>
                <w:sz w:val="22"/>
                <w:szCs w:val="22"/>
              </w:rPr>
              <w:t xml:space="preserve">Duration</w:t>
            </w:r>
          </w:p>
        </w:tc>
      </w:tr>
      <w:tr>
        <w:tc>
          <w:tcPr>
            <w:tcW w:type="dxa" w:w="1800"/>
            <w:tcBorders>
              <w:top w:val="single" w:color="CCCCCC" w:sz="1"/>
              <w:left w:val="single" w:color="CCCCCC" w:sz="1"/>
              <w:bottom w:val="single" w:color="CCCCCC" w:sz="1"/>
              <w:right w:val="single" w:color="CCCCCC" w:sz="1"/>
            </w:tcBorders>
          </w:tcPr>
          <w:p>
            <w:pPr>
              <w:jc w:val="left"/>
            </w:pPr>
            <w:r>
              <w:rPr>
                <w:b/>
                <w:bCs/>
                <w:sz w:val="22"/>
                <w:szCs w:val="22"/>
              </w:rPr>
              <w:t xml:space="preserve">1. Foundation</w:t>
            </w:r>
          </w:p>
        </w:tc>
        <w:tc>
          <w:tcPr>
            <w:tcW w:type="dxa" w:w="468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Project setup, data model implementation, file I/O, basic CLI framework</w:t>
            </w:r>
          </w:p>
        </w:tc>
        <w:tc>
          <w:tcPr>
            <w:tcW w:type="dxa" w:w="288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2 weeks</w:t>
            </w:r>
          </w:p>
        </w:tc>
      </w:tr>
      <w:tr>
        <w:tc>
          <w:tcPr>
            <w:tcW w:type="dxa" w:w="1800"/>
            <w:tcBorders>
              <w:top w:val="single" w:color="CCCCCC" w:sz="1"/>
              <w:left w:val="single" w:color="CCCCCC" w:sz="1"/>
              <w:bottom w:val="single" w:color="CCCCCC" w:sz="1"/>
              <w:right w:val="single" w:color="CCCCCC" w:sz="1"/>
            </w:tcBorders>
          </w:tcPr>
          <w:p>
            <w:pPr>
              <w:jc w:val="left"/>
            </w:pPr>
            <w:r>
              <w:rPr>
                <w:b/>
                <w:bCs/>
                <w:sz w:val="22"/>
                <w:szCs w:val="22"/>
              </w:rPr>
              <w:t xml:space="preserve">2. Core Budget</w:t>
            </w:r>
          </w:p>
        </w:tc>
        <w:tc>
          <w:tcPr>
            <w:tcW w:type="dxa" w:w="468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Account CRUD, category management, budget allocation, period handling</w:t>
            </w:r>
          </w:p>
        </w:tc>
        <w:tc>
          <w:tcPr>
            <w:tcW w:type="dxa" w:w="288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2-3 weeks</w:t>
            </w:r>
          </w:p>
        </w:tc>
      </w:tr>
      <w:tr>
        <w:tc>
          <w:tcPr>
            <w:tcW w:type="dxa" w:w="1800"/>
            <w:tcBorders>
              <w:top w:val="single" w:color="CCCCCC" w:sz="1"/>
              <w:left w:val="single" w:color="CCCCCC" w:sz="1"/>
              <w:bottom w:val="single" w:color="CCCCCC" w:sz="1"/>
              <w:right w:val="single" w:color="CCCCCC" w:sz="1"/>
            </w:tcBorders>
          </w:tcPr>
          <w:p>
            <w:pPr>
              <w:jc w:val="left"/>
            </w:pPr>
            <w:r>
              <w:rPr>
                <w:b/>
                <w:bCs/>
                <w:sz w:val="22"/>
                <w:szCs w:val="22"/>
              </w:rPr>
              <w:t xml:space="preserve">3. Transactions</w:t>
            </w:r>
          </w:p>
        </w:tc>
        <w:tc>
          <w:tcPr>
            <w:tcW w:type="dxa" w:w="468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Transaction CRUD, categorization, splits, transfers, CSV import</w:t>
            </w:r>
          </w:p>
        </w:tc>
        <w:tc>
          <w:tcPr>
            <w:tcW w:type="dxa" w:w="288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2-3 weeks</w:t>
            </w:r>
          </w:p>
        </w:tc>
      </w:tr>
      <w:tr>
        <w:tc>
          <w:tcPr>
            <w:tcW w:type="dxa" w:w="1800"/>
            <w:tcBorders>
              <w:top w:val="single" w:color="CCCCCC" w:sz="1"/>
              <w:left w:val="single" w:color="CCCCCC" w:sz="1"/>
              <w:bottom w:val="single" w:color="CCCCCC" w:sz="1"/>
              <w:right w:val="single" w:color="CCCCCC" w:sz="1"/>
            </w:tcBorders>
          </w:tcPr>
          <w:p>
            <w:pPr>
              <w:jc w:val="left"/>
            </w:pPr>
            <w:r>
              <w:rPr>
                <w:b/>
                <w:bCs/>
                <w:sz w:val="22"/>
                <w:szCs w:val="22"/>
              </w:rPr>
              <w:t xml:space="preserve">4. TUI</w:t>
            </w:r>
          </w:p>
        </w:tc>
        <w:tc>
          <w:tcPr>
            <w:tcW w:type="dxa" w:w="468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Interactive interface, keyboard navigation, budget view, transaction register</w:t>
            </w:r>
          </w:p>
        </w:tc>
        <w:tc>
          <w:tcPr>
            <w:tcW w:type="dxa" w:w="288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2-3 weeks</w:t>
            </w:r>
          </w:p>
        </w:tc>
      </w:tr>
      <w:tr>
        <w:tc>
          <w:tcPr>
            <w:tcW w:type="dxa" w:w="1800"/>
            <w:tcBorders>
              <w:top w:val="single" w:color="CCCCCC" w:sz="1"/>
              <w:left w:val="single" w:color="CCCCCC" w:sz="1"/>
              <w:bottom w:val="single" w:color="CCCCCC" w:sz="1"/>
              <w:right w:val="single" w:color="CCCCCC" w:sz="1"/>
            </w:tcBorders>
          </w:tcPr>
          <w:p>
            <w:pPr>
              <w:jc w:val="left"/>
            </w:pPr>
            <w:r>
              <w:rPr>
                <w:b/>
                <w:bCs/>
                <w:sz w:val="22"/>
                <w:szCs w:val="22"/>
              </w:rPr>
              <w:t xml:space="preserve">5. Reconciliation</w:t>
            </w:r>
          </w:p>
        </w:tc>
        <w:tc>
          <w:tcPr>
            <w:tcW w:type="dxa" w:w="468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Reconciliation workflow, audit logging, backup system</w:t>
            </w:r>
          </w:p>
        </w:tc>
        <w:tc>
          <w:tcPr>
            <w:tcW w:type="dxa" w:w="288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1-2 weeks</w:t>
            </w:r>
          </w:p>
        </w:tc>
      </w:tr>
      <w:tr>
        <w:tc>
          <w:tcPr>
            <w:tcW w:type="dxa" w:w="1800"/>
            <w:tcBorders>
              <w:top w:val="single" w:color="CCCCCC" w:sz="1"/>
              <w:left w:val="single" w:color="CCCCCC" w:sz="1"/>
              <w:bottom w:val="single" w:color="CCCCCC" w:sz="1"/>
              <w:right w:val="single" w:color="CCCCCC" w:sz="1"/>
            </w:tcBorders>
          </w:tcPr>
          <w:p>
            <w:pPr>
              <w:jc w:val="left"/>
            </w:pPr>
            <w:r>
              <w:rPr>
                <w:b/>
                <w:bCs/>
                <w:sz w:val="22"/>
                <w:szCs w:val="22"/>
              </w:rPr>
              <w:t xml:space="preserve">6. Polish</w:t>
            </w:r>
          </w:p>
        </w:tc>
        <w:tc>
          <w:tcPr>
            <w:tcW w:type="dxa" w:w="468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Reporting, encryption, documentation, cross-platform testing</w:t>
            </w:r>
          </w:p>
        </w:tc>
        <w:tc>
          <w:tcPr>
            <w:tcW w:type="dxa" w:w="288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1-2 weeks</w:t>
            </w:r>
          </w:p>
        </w:tc>
      </w:tr>
    </w:tbl>
    <w:p>
      <w:pPr>
        <w:spacing w:before="360"/>
      </w:pPr>
    </w:p>
    <w:p>
      <w:pPr>
        <w:pStyle w:val="Heading1"/>
      </w:pPr>
      <w:r>
        <w:t xml:space="preserve">13. Future Considerations (Post-MVP)</w:t>
      </w:r>
    </w:p>
    <w:p>
      <w:pPr>
        <w:pStyle w:val="Heading2"/>
      </w:pPr>
      <w:r>
        <w:t xml:space="preserve">13.1 Version 2.0 Candidates</w:t>
      </w:r>
    </w:p>
    <w:p>
      <w:pPr>
        <w:pStyle w:val="ListParagraph"/>
        <w:numPr>
          <w:ilvl w:val="0"/>
          <w:numId w:val="9"/>
        </w:numPr>
      </w:pPr>
      <w:r>
        <w:t xml:space="preserve">Bank integration via Plaid, GoCardless, or Open Banking APIs</w:t>
      </w:r>
    </w:p>
    <w:p>
      <w:pPr>
        <w:pStyle w:val="ListParagraph"/>
        <w:numPr>
          <w:ilvl w:val="0"/>
          <w:numId w:val="9"/>
        </w:numPr>
      </w:pPr>
      <w:r>
        <w:t xml:space="preserve">Credit card account support with payment tracking</w:t>
      </w:r>
    </w:p>
    <w:p>
      <w:pPr>
        <w:pStyle w:val="ListParagraph"/>
        <w:numPr>
          <w:ilvl w:val="0"/>
          <w:numId w:val="9"/>
        </w:numPr>
      </w:pPr>
      <w:r>
        <w:t xml:space="preserve">Recurring/scheduled transactions</w:t>
      </w:r>
    </w:p>
    <w:p>
      <w:pPr>
        <w:pStyle w:val="ListParagraph"/>
        <w:numPr>
          <w:ilvl w:val="0"/>
          <w:numId w:val="9"/>
        </w:numPr>
      </w:pPr>
      <w:r>
        <w:t xml:space="preserve">Savings goals with target dates and progress tracking</w:t>
      </w:r>
    </w:p>
    <w:p>
      <w:pPr>
        <w:pStyle w:val="ListParagraph"/>
        <w:numPr>
          <w:ilvl w:val="0"/>
          <w:numId w:val="9"/>
        </w:numPr>
      </w:pPr>
      <w:r>
        <w:t xml:space="preserve">OFX/QIF/QFX import formats</w:t>
      </w:r>
    </w:p>
    <w:p>
      <w:pPr>
        <w:pStyle w:val="ListParagraph"/>
        <w:numPr>
          <w:ilvl w:val="0"/>
          <w:numId w:val="9"/>
        </w:numPr>
        <w:spacing w:after="200"/>
      </w:pPr>
      <w:r>
        <w:t xml:space="preserve">YNAB budget import/migration tool</w:t>
      </w:r>
    </w:p>
    <w:p>
      <w:pPr>
        <w:pStyle w:val="Heading2"/>
      </w:pPr>
      <w:r>
        <w:t xml:space="preserve">13.2 Version 3.0+ Candidates</w:t>
      </w:r>
    </w:p>
    <w:p>
      <w:pPr>
        <w:pStyle w:val="ListParagraph"/>
        <w:numPr>
          <w:ilvl w:val="0"/>
          <w:numId w:val="9"/>
        </w:numPr>
      </w:pPr>
      <w:r>
        <w:t xml:space="preserve">Multi-currency support with exchange rate handling</w:t>
      </w:r>
    </w:p>
    <w:p>
      <w:pPr>
        <w:pStyle w:val="ListParagraph"/>
        <w:numPr>
          <w:ilvl w:val="0"/>
          <w:numId w:val="9"/>
        </w:numPr>
      </w:pPr>
      <w:r>
        <w:t xml:space="preserve">Investment account tracking (balance-only)</w:t>
      </w:r>
    </w:p>
    <w:p>
      <w:pPr>
        <w:pStyle w:val="ListParagraph"/>
        <w:numPr>
          <w:ilvl w:val="0"/>
          <w:numId w:val="9"/>
        </w:numPr>
      </w:pPr>
      <w:r>
        <w:t xml:space="preserve">Optional cloud sync (encrypted, self-hostable)</w:t>
      </w:r>
    </w:p>
    <w:p>
      <w:pPr>
        <w:pStyle w:val="ListParagraph"/>
        <w:numPr>
          <w:ilvl w:val="0"/>
          <w:numId w:val="9"/>
        </w:numPr>
      </w:pPr>
      <w:r>
        <w:t xml:space="preserve">Historical trend analysis and forecasting</w:t>
      </w:r>
    </w:p>
    <w:p>
      <w:pPr>
        <w:pStyle w:val="ListParagraph"/>
        <w:numPr>
          <w:ilvl w:val="0"/>
          <w:numId w:val="9"/>
        </w:numPr>
      </w:pPr>
      <w:r>
        <w:t xml:space="preserve">Plugin system for custom reports and integrations</w:t>
      </w:r>
    </w:p>
    <w:p>
      <w:pPr>
        <w:pStyle w:val="ListParagraph"/>
        <w:numPr>
          <w:ilvl w:val="0"/>
          <w:numId w:val="9"/>
        </w:numPr>
        <w:spacing w:after="200"/>
      </w:pPr>
      <w:r>
        <w:t xml:space="preserve">Mobile companion app (read-only or limited functionality)</w:t>
      </w:r>
    </w:p>
    <w:p>
      <w:pPr>
        <w:pStyle w:val="Heading1"/>
      </w:pPr>
      <w:r>
        <w:t xml:space="preserve">14. Open Questions &amp; Risks</w:t>
      </w:r>
    </w:p>
    <w:p>
      <w:pPr>
        <w:pStyle w:val="Heading2"/>
      </w:pPr>
      <w:r>
        <w:t xml:space="preserve">14.1 Technical Decisions</w:t>
      </w:r>
    </w:p>
    <w:p>
      <w:pPr>
        <w:pStyle w:val="ListParagraph"/>
        <w:numPr>
          <w:ilvl w:val="0"/>
          <w:numId w:val="9"/>
        </w:numPr>
      </w:pPr>
      <w:r>
        <w:rPr>
          <w:b/>
          <w:bCs/>
        </w:rPr>
        <w:t xml:space="preserve">Language Selection: </w:t>
      </w:r>
      <w:r>
        <w:t xml:space="preserve">Final choice between Rust, Go, or Python based on team expertise and timeline constraints</w:t>
      </w:r>
    </w:p>
    <w:p>
      <w:pPr>
        <w:pStyle w:val="ListParagraph"/>
        <w:numPr>
          <w:ilvl w:val="0"/>
          <w:numId w:val="9"/>
        </w:numPr>
      </w:pPr>
      <w:r>
        <w:rPr>
          <w:b/>
          <w:bCs/>
        </w:rPr>
        <w:t xml:space="preserve">Data Format: </w:t>
      </w:r>
      <w:r>
        <w:t xml:space="preserve">JSON vs YAML as primary format (JSON recommended for parsing speed)</w:t>
      </w:r>
    </w:p>
    <w:p>
      <w:pPr>
        <w:pStyle w:val="ListParagraph"/>
        <w:numPr>
          <w:ilvl w:val="0"/>
          <w:numId w:val="9"/>
        </w:numPr>
        <w:spacing w:after="200"/>
      </w:pPr>
      <w:r>
        <w:rPr>
          <w:b/>
          <w:bCs/>
        </w:rPr>
        <w:t xml:space="preserve">Encryption Scope: </w:t>
      </w:r>
      <w:r>
        <w:t xml:space="preserve">Full database encryption vs field-level encryption for amounts/payees</w:t>
      </w:r>
    </w:p>
    <w:p>
      <w:pPr>
        <w:pStyle w:val="Heading2"/>
      </w:pPr>
      <w:r>
        <w:t xml:space="preserve">14.2 Risk Assessment</w:t>
      </w:r>
    </w:p>
    <w:tbl>
      <w:tblPr>
        <w:tblW w:type="auto" w:w="100"/>
        <w:tblBorders>
          <w:top w:val="single" w:color="auto" w:sz="4"/>
          <w:left w:val="single" w:color="auto" w:sz="4"/>
          <w:bottom w:val="single" w:color="auto" w:sz="4"/>
          <w:right w:val="single" w:color="auto" w:sz="4"/>
          <w:insideH w:val="single" w:color="auto" w:sz="4"/>
          <w:insideV w:val="single" w:color="auto" w:sz="4"/>
        </w:tblBorders>
      </w:tblPr>
      <w:tblGrid>
        <w:gridCol w:w="2800"/>
        <w:gridCol w:w="3280"/>
        <w:gridCol w:w="3280"/>
      </w:tblGrid>
      <w:tr>
        <w:tc>
          <w:tcPr>
            <w:tcW w:type="dxa" w:w="2800"/>
            <w:tcBorders>
              <w:top w:val="single" w:color="CCCCCC" w:sz="1"/>
              <w:left w:val="single" w:color="CCCCCC" w:sz="1"/>
              <w:bottom w:val="single" w:color="CCCCCC" w:sz="1"/>
              <w:right w:val="single" w:color="CCCCCC" w:sz="1"/>
            </w:tcBorders>
            <w:shd w:fill="E8F4F8" w:val="clear"/>
          </w:tcPr>
          <w:p>
            <w:pPr>
              <w:jc w:val="left"/>
            </w:pPr>
            <w:r>
              <w:rPr>
                <w:b/>
                <w:bCs/>
                <w:sz w:val="22"/>
                <w:szCs w:val="22"/>
              </w:rPr>
              <w:t xml:space="preserve">Risk</w:t>
            </w:r>
          </w:p>
        </w:tc>
        <w:tc>
          <w:tcPr>
            <w:tcW w:type="dxa" w:w="3280"/>
            <w:tcBorders>
              <w:top w:val="single" w:color="CCCCCC" w:sz="1"/>
              <w:left w:val="single" w:color="CCCCCC" w:sz="1"/>
              <w:bottom w:val="single" w:color="CCCCCC" w:sz="1"/>
              <w:right w:val="single" w:color="CCCCCC" w:sz="1"/>
            </w:tcBorders>
            <w:shd w:fill="E8F4F8" w:val="clear"/>
          </w:tcPr>
          <w:p>
            <w:pPr>
              <w:jc w:val="left"/>
            </w:pPr>
            <w:r>
              <w:rPr>
                <w:b/>
                <w:bCs/>
                <w:sz w:val="22"/>
                <w:szCs w:val="22"/>
              </w:rPr>
              <w:t xml:space="preserve">Impact</w:t>
            </w:r>
          </w:p>
        </w:tc>
        <w:tc>
          <w:tcPr>
            <w:tcW w:type="dxa" w:w="3280"/>
            <w:tcBorders>
              <w:top w:val="single" w:color="CCCCCC" w:sz="1"/>
              <w:left w:val="single" w:color="CCCCCC" w:sz="1"/>
              <w:bottom w:val="single" w:color="CCCCCC" w:sz="1"/>
              <w:right w:val="single" w:color="CCCCCC" w:sz="1"/>
            </w:tcBorders>
            <w:shd w:fill="E8F4F8" w:val="clear"/>
          </w:tcPr>
          <w:p>
            <w:pPr>
              <w:jc w:val="left"/>
            </w:pPr>
            <w:r>
              <w:rPr>
                <w:b/>
                <w:bCs/>
                <w:sz w:val="22"/>
                <w:szCs w:val="22"/>
              </w:rPr>
              <w:t xml:space="preserve">Mitigation</w:t>
            </w:r>
          </w:p>
        </w:tc>
      </w:tr>
      <w:tr>
        <w:tc>
          <w:tcPr>
            <w:tcW w:type="dxa" w:w="280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CSV format variability</w:t>
            </w:r>
          </w:p>
        </w:tc>
        <w:tc>
          <w:tcPr>
            <w:tcW w:type="dxa" w:w="328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Import failures for non-standard bank exports</w:t>
            </w:r>
          </w:p>
        </w:tc>
        <w:tc>
          <w:tcPr>
            <w:tcW w:type="dxa" w:w="328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Provide manual column mapping; maintain format presets for major banks</w:t>
            </w:r>
          </w:p>
        </w:tc>
      </w:tr>
      <w:tr>
        <w:tc>
          <w:tcPr>
            <w:tcW w:type="dxa" w:w="280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TUI framework limitations</w:t>
            </w:r>
          </w:p>
        </w:tc>
        <w:tc>
          <w:tcPr>
            <w:tcW w:type="dxa" w:w="328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Cannot achieve desired UX on certain terminals</w:t>
            </w:r>
          </w:p>
        </w:tc>
        <w:tc>
          <w:tcPr>
            <w:tcW w:type="dxa" w:w="328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Test early on target platforms; have CLI fallback for all operations</w:t>
            </w:r>
          </w:p>
        </w:tc>
      </w:tr>
      <w:tr>
        <w:tc>
          <w:tcPr>
            <w:tcW w:type="dxa" w:w="280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Feature creep</w:t>
            </w:r>
          </w:p>
        </w:tc>
        <w:tc>
          <w:tcPr>
            <w:tcW w:type="dxa" w:w="328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MVP scope expands, delaying release</w:t>
            </w:r>
          </w:p>
        </w:tc>
        <w:tc>
          <w:tcPr>
            <w:tcW w:type="dxa" w:w="328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Strict scope enforcement; maintain V2 backlog for deferred features</w:t>
            </w:r>
          </w:p>
        </w:tc>
      </w:tr>
      <w:tr>
        <w:tc>
          <w:tcPr>
            <w:tcW w:type="dxa" w:w="280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Data corruption</w:t>
            </w:r>
          </w:p>
        </w:tc>
        <w:tc>
          <w:tcPr>
            <w:tcW w:type="dxa" w:w="328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User loses financial records</w:t>
            </w:r>
          </w:p>
        </w:tc>
        <w:tc>
          <w:tcPr>
            <w:tcW w:type="dxa" w:w="328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Automatic backups, atomic file writes, extensive testing</w:t>
            </w:r>
          </w:p>
        </w:tc>
      </w:tr>
    </w:tbl>
    <w:p>
      <w:r>
        <w:br w:type="page"/>
      </w:r>
    </w:p>
    <w:p>
      <w:pPr>
        <w:pStyle w:val="Heading1"/>
      </w:pPr>
      <w:r>
        <w:t xml:space="preserve">15. Appendix</w:t>
      </w:r>
    </w:p>
    <w:p>
      <w:pPr>
        <w:pStyle w:val="Heading2"/>
      </w:pPr>
      <w:r>
        <w:t xml:space="preserve">15.1 Glossary</w:t>
      </w:r>
    </w:p>
    <w:tbl>
      <w:tblPr>
        <w:tblW w:type="auto" w:w="100"/>
        <w:tblBorders>
          <w:top w:val="single" w:color="auto" w:sz="4"/>
          <w:left w:val="single" w:color="auto" w:sz="4"/>
          <w:bottom w:val="single" w:color="auto" w:sz="4"/>
          <w:right w:val="single" w:color="auto" w:sz="4"/>
          <w:insideH w:val="single" w:color="auto" w:sz="4"/>
          <w:insideV w:val="single" w:color="auto" w:sz="4"/>
        </w:tblBorders>
      </w:tblPr>
      <w:tblGrid>
        <w:gridCol w:w="2500"/>
        <w:gridCol w:w="6860"/>
      </w:tblGrid>
      <w:tr>
        <w:tc>
          <w:tcPr>
            <w:tcW w:type="dxa" w:w="2500"/>
            <w:tcBorders>
              <w:top w:val="single" w:color="CCCCCC" w:sz="1"/>
              <w:left w:val="single" w:color="CCCCCC" w:sz="1"/>
              <w:bottom w:val="single" w:color="CCCCCC" w:sz="1"/>
              <w:right w:val="single" w:color="CCCCCC" w:sz="1"/>
            </w:tcBorders>
            <w:shd w:fill="E8F4F8" w:val="clear"/>
          </w:tcPr>
          <w:p>
            <w:pPr>
              <w:jc w:val="left"/>
            </w:pPr>
            <w:r>
              <w:rPr>
                <w:b/>
                <w:bCs/>
                <w:sz w:val="22"/>
                <w:szCs w:val="22"/>
              </w:rPr>
              <w:t xml:space="preserve">Term</w:t>
            </w:r>
          </w:p>
        </w:tc>
        <w:tc>
          <w:tcPr>
            <w:tcW w:type="dxa" w:w="6860"/>
            <w:tcBorders>
              <w:top w:val="single" w:color="CCCCCC" w:sz="1"/>
              <w:left w:val="single" w:color="CCCCCC" w:sz="1"/>
              <w:bottom w:val="single" w:color="CCCCCC" w:sz="1"/>
              <w:right w:val="single" w:color="CCCCCC" w:sz="1"/>
            </w:tcBorders>
            <w:shd w:fill="E8F4F8" w:val="clear"/>
          </w:tcPr>
          <w:p>
            <w:pPr>
              <w:jc w:val="left"/>
            </w:pPr>
            <w:r>
              <w:rPr>
                <w:b/>
                <w:bCs/>
                <w:sz w:val="22"/>
                <w:szCs w:val="22"/>
              </w:rPr>
              <w:t xml:space="preserve">Definition</w:t>
            </w:r>
          </w:p>
        </w:tc>
      </w:tr>
      <w:tr>
        <w:tc>
          <w:tcPr>
            <w:tcW w:type="dxa" w:w="2500"/>
            <w:tcBorders>
              <w:top w:val="single" w:color="CCCCCC" w:sz="1"/>
              <w:left w:val="single" w:color="CCCCCC" w:sz="1"/>
              <w:bottom w:val="single" w:color="CCCCCC" w:sz="1"/>
              <w:right w:val="single" w:color="CCCCCC" w:sz="1"/>
            </w:tcBorders>
          </w:tcPr>
          <w:p>
            <w:pPr>
              <w:jc w:val="left"/>
            </w:pPr>
            <w:r>
              <w:rPr>
                <w:b/>
                <w:bCs/>
                <w:sz w:val="22"/>
                <w:szCs w:val="22"/>
              </w:rPr>
              <w:t xml:space="preserve">Zero-based budgeting</w:t>
            </w:r>
          </w:p>
        </w:tc>
        <w:tc>
          <w:tcPr>
            <w:tcW w:type="dxa" w:w="686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Budgeting method where every dollar of income is assigned a purpose (job), leaving no unallocated funds</w:t>
            </w:r>
          </w:p>
        </w:tc>
      </w:tr>
      <w:tr>
        <w:tc>
          <w:tcPr>
            <w:tcW w:type="dxa" w:w="2500"/>
            <w:tcBorders>
              <w:top w:val="single" w:color="CCCCCC" w:sz="1"/>
              <w:left w:val="single" w:color="CCCCCC" w:sz="1"/>
              <w:bottom w:val="single" w:color="CCCCCC" w:sz="1"/>
              <w:right w:val="single" w:color="CCCCCC" w:sz="1"/>
            </w:tcBorders>
          </w:tcPr>
          <w:p>
            <w:pPr>
              <w:jc w:val="left"/>
            </w:pPr>
            <w:r>
              <w:rPr>
                <w:b/>
                <w:bCs/>
                <w:sz w:val="22"/>
                <w:szCs w:val="22"/>
              </w:rPr>
              <w:t xml:space="preserve">Envelope method</w:t>
            </w:r>
          </w:p>
        </w:tc>
        <w:tc>
          <w:tcPr>
            <w:tcW w:type="dxa" w:w="686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Visual metaphor for zero-based budgeting where funds are mentally "placed" in category envelopes</w:t>
            </w:r>
          </w:p>
        </w:tc>
      </w:tr>
      <w:tr>
        <w:tc>
          <w:tcPr>
            <w:tcW w:type="dxa" w:w="2500"/>
            <w:tcBorders>
              <w:top w:val="single" w:color="CCCCCC" w:sz="1"/>
              <w:left w:val="single" w:color="CCCCCC" w:sz="1"/>
              <w:bottom w:val="single" w:color="CCCCCC" w:sz="1"/>
              <w:right w:val="single" w:color="CCCCCC" w:sz="1"/>
            </w:tcBorders>
          </w:tcPr>
          <w:p>
            <w:pPr>
              <w:jc w:val="left"/>
            </w:pPr>
            <w:r>
              <w:rPr>
                <w:b/>
                <w:bCs/>
                <w:sz w:val="22"/>
                <w:szCs w:val="22"/>
              </w:rPr>
              <w:t xml:space="preserve">Available to Budget</w:t>
            </w:r>
          </w:p>
        </w:tc>
        <w:tc>
          <w:tcPr>
            <w:tcW w:type="dxa" w:w="686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Total funds not yet assigned to any category; should equal zero when budget is complete</w:t>
            </w:r>
          </w:p>
        </w:tc>
      </w:tr>
      <w:tr>
        <w:tc>
          <w:tcPr>
            <w:tcW w:type="dxa" w:w="2500"/>
            <w:tcBorders>
              <w:top w:val="single" w:color="CCCCCC" w:sz="1"/>
              <w:left w:val="single" w:color="CCCCCC" w:sz="1"/>
              <w:bottom w:val="single" w:color="CCCCCC" w:sz="1"/>
              <w:right w:val="single" w:color="CCCCCC" w:sz="1"/>
            </w:tcBorders>
          </w:tcPr>
          <w:p>
            <w:pPr>
              <w:jc w:val="left"/>
            </w:pPr>
            <w:r>
              <w:rPr>
                <w:b/>
                <w:bCs/>
                <w:sz w:val="22"/>
                <w:szCs w:val="22"/>
              </w:rPr>
              <w:t xml:space="preserve">Reconciliation</w:t>
            </w:r>
          </w:p>
        </w:tc>
        <w:tc>
          <w:tcPr>
            <w:tcW w:type="dxa" w:w="686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Process of matching application records against official bank statements</w:t>
            </w:r>
          </w:p>
        </w:tc>
      </w:tr>
      <w:tr>
        <w:tc>
          <w:tcPr>
            <w:tcW w:type="dxa" w:w="2500"/>
            <w:tcBorders>
              <w:top w:val="single" w:color="CCCCCC" w:sz="1"/>
              <w:left w:val="single" w:color="CCCCCC" w:sz="1"/>
              <w:bottom w:val="single" w:color="CCCCCC" w:sz="1"/>
              <w:right w:val="single" w:color="CCCCCC" w:sz="1"/>
            </w:tcBorders>
          </w:tcPr>
          <w:p>
            <w:pPr>
              <w:jc w:val="left"/>
            </w:pPr>
            <w:r>
              <w:rPr>
                <w:b/>
                <w:bCs/>
                <w:sz w:val="22"/>
                <w:szCs w:val="22"/>
              </w:rPr>
              <w:t xml:space="preserve">TUI</w:t>
            </w:r>
          </w:p>
        </w:tc>
        <w:tc>
          <w:tcPr>
            <w:tcW w:type="dxa" w:w="686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Terminal User Interface — full-screen interactive application running in a terminal emulator</w:t>
            </w:r>
          </w:p>
        </w:tc>
      </w:tr>
      <w:tr>
        <w:tc>
          <w:tcPr>
            <w:tcW w:type="dxa" w:w="2500"/>
            <w:tcBorders>
              <w:top w:val="single" w:color="CCCCCC" w:sz="1"/>
              <w:left w:val="single" w:color="CCCCCC" w:sz="1"/>
              <w:bottom w:val="single" w:color="CCCCCC" w:sz="1"/>
              <w:right w:val="single" w:color="CCCCCC" w:sz="1"/>
            </w:tcBorders>
          </w:tcPr>
          <w:p>
            <w:pPr>
              <w:jc w:val="left"/>
            </w:pPr>
            <w:r>
              <w:rPr>
                <w:b/>
                <w:bCs/>
                <w:sz w:val="22"/>
                <w:szCs w:val="22"/>
              </w:rPr>
              <w:t xml:space="preserve">CLI</w:t>
            </w:r>
          </w:p>
        </w:tc>
        <w:tc>
          <w:tcPr>
            <w:tcW w:type="dxa" w:w="6860"/>
            <w:tcBorders>
              <w:top w:val="single" w:color="CCCCCC" w:sz="1"/>
              <w:left w:val="single" w:color="CCCCCC" w:sz="1"/>
              <w:bottom w:val="single" w:color="CCCCCC" w:sz="1"/>
              <w:right w:val="single" w:color="CCCCCC" w:sz="1"/>
            </w:tcBorders>
          </w:tcPr>
          <w:p>
            <w:pPr>
              <w:jc w:val="left"/>
            </w:pPr>
            <w:r>
              <w:rPr>
                <w:b w:val="false"/>
                <w:bCs w:val="false"/>
                <w:sz w:val="22"/>
                <w:szCs w:val="22"/>
              </w:rPr>
              <w:t xml:space="preserve">Command Line Interface — discrete commands entered at a shell prompt</w:t>
            </w:r>
          </w:p>
        </w:tc>
      </w:tr>
    </w:tbl>
    <w:p>
      <w:pPr>
        <w:spacing w:before="240"/>
      </w:pPr>
    </w:p>
    <w:p>
      <w:pPr>
        <w:pStyle w:val="Heading2"/>
      </w:pPr>
      <w:r>
        <w:t xml:space="preserve">15.2 References</w:t>
      </w:r>
    </w:p>
    <w:p>
      <w:pPr>
        <w:pStyle w:val="ListParagraph"/>
        <w:numPr>
          <w:ilvl w:val="0"/>
          <w:numId w:val="9"/>
        </w:numPr>
      </w:pPr>
      <w:r>
        <w:t xml:space="preserve">YNAB (You Need A Budget) — ynab.com — primary UX reference</w:t>
      </w:r>
    </w:p>
    <w:p>
      <w:pPr>
        <w:pStyle w:val="ListParagraph"/>
        <w:numPr>
          <w:ilvl w:val="0"/>
          <w:numId w:val="9"/>
        </w:numPr>
      </w:pPr>
      <w:r>
        <w:t xml:space="preserve">Ledger-CLI — ledger-cli.org — plain-text accounting inspiration</w:t>
      </w:r>
    </w:p>
    <w:p>
      <w:pPr>
        <w:pStyle w:val="ListParagraph"/>
        <w:numPr>
          <w:ilvl w:val="0"/>
          <w:numId w:val="9"/>
        </w:numPr>
      </w:pPr>
      <w:r>
        <w:t xml:space="preserve">Ratatui (Rust TUI library) — ratatui.rs</w:t>
      </w:r>
    </w:p>
    <w:p>
      <w:pPr>
        <w:pStyle w:val="ListParagraph"/>
        <w:numPr>
          <w:ilvl w:val="0"/>
          <w:numId w:val="9"/>
        </w:numPr>
      </w:pPr>
      <w:r>
        <w:t xml:space="preserve">Bubbletea (Go TUI library) — github.com/charmbracelet/bubbletea</w:t>
      </w:r>
    </w:p>
    <w:p>
      <w:pPr>
        <w:pStyle w:val="ListParagraph"/>
        <w:numPr>
          <w:ilvl w:val="0"/>
          <w:numId w:val="9"/>
        </w:numPr>
      </w:pPr>
      <w:r>
        <w:t xml:space="preserve">Textual (Python TUI library) — textual.textualize.io</w:t>
      </w:r>
    </w:p>
    <w:sectPr>
      <w:headerReference w:type="default" r:id="rId6"/>
      <w:footerReference w:type="default" r:id="rId7"/>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sz w:val="18"/>
        <w:szCs w:val="18"/>
      </w:rPr>
      <w:t xml:space="preserve">Page </w:t>
    </w:r>
    <w:r>
      <w:rPr>
        <w:sz w:val="18"/>
        <w:szCs w:val="18"/>
      </w:rPr>
      <w:fldChar w:fldCharType="begin"/>
      <w:instrText xml:space="preserve">PAGE</w:instrText>
      <w:fldChar w:fldCharType="separate"/>
      <w:fldChar w:fldCharType="end"/>
    </w:r>
    <w:r>
      <w:rPr>
        <w:sz w:val="18"/>
        <w:szCs w:val="18"/>
      </w:rPr>
      <w:t xml:space="preserve"> of </w:t>
    </w:r>
    <w:r>
      <w:rPr>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color w:val="666666"/>
        <w:sz w:val="18"/>
        <w:szCs w:val="18"/>
      </w:rPr>
      <w:t xml:space="preserve">Product Requirements Document — EnvelopeCLI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080" w:hanging="360"/>
      </w:pPr>
    </w:lvl>
  </w:abstractNum>
  <w:abstractNum w:abstractNumId="3" w15:restartNumberingAfterBreak="0">
    <w:multiLevelType w:val="hybridMultilevel"/>
    <w:lvl w:ilvl="0" w15:tentative="1">
      <w:start w:val="1"/>
      <w:numFmt w:val="bullet"/>
      <w:lvlText w:val="•"/>
      <w:lvlJc w:val="left"/>
      <w:pPr>
        <w:ind w:left="720" w:hanging="360"/>
      </w:pPr>
    </w:lvl>
  </w:abstractNum>
  <w:abstractNum w:abstractNumId="4"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080" w:hanging="360"/>
      </w:pPr>
    </w:lvl>
  </w:abstractNum>
  <w:abstractNum w:abstractNumId="5"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080" w:hanging="360"/>
      </w:pPr>
    </w:lvl>
  </w:abstractNum>
  <w:abstractNum w:abstractNumId="6" w15:restartNumberingAfterBreak="0">
    <w:multiLevelType w:val="hybridMultilevel"/>
    <w:lvl w:ilvl="0" w15:tentative="1">
      <w:start w:val="1"/>
      <w:numFmt w:val="bullet"/>
      <w:lvlText w:val="•"/>
      <w:lvlJc w:val="left"/>
      <w:pPr>
        <w:ind w:left="720" w:hanging="360"/>
      </w:pPr>
    </w:lvl>
  </w:abstractNum>
  <w:abstractNum w:abstractNumId="7" w15:restartNumberingAfterBreak="0">
    <w:multiLevelType w:val="hybridMultilevel"/>
    <w:lvl w:ilvl="0" w15:tentative="1">
      <w:start w:val="1"/>
      <w:numFmt w:val="bullet"/>
      <w:lvlText w:val="•"/>
      <w:lvlJc w:val="left"/>
      <w:pPr>
        <w:ind w:left="720" w:hanging="360"/>
      </w:pPr>
    </w:lvl>
  </w:abstractNum>
  <w:abstractNum w:abstractNumId="8" w15:restartNumberingAfterBreak="0">
    <w:multiLevelType w:val="hybridMultilevel"/>
    <w:lvl w:ilvl="0" w15:tentative="1">
      <w:start w:val="1"/>
      <w:numFmt w:val="decimal"/>
      <w:lvlText w:val="%1."/>
      <w:lvlJc w:val="left"/>
      <w:pPr>
        <w:ind w:left="720" w:hanging="360"/>
      </w:pPr>
    </w:lvl>
  </w:abstractNum>
  <w:abstractNum w:abstractNumId="9"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8"/>
    <w:lvlOverride w:ilvl="0">
      <w:startOverride w:val="1"/>
    </w:lvlOverride>
  </w:num>
  <w:num w:numId="4">
    <w:abstractNumId w:val="3"/>
    <w:lvlOverride w:ilvl="0">
      <w:startOverride w:val="1"/>
    </w:lvlOverride>
  </w:num>
  <w:num w:numId="5">
    <w:abstractNumId w:val="4"/>
    <w:lvlOverride w:ilvl="0">
      <w:startOverride w:val="1"/>
    </w:lvlOverride>
  </w:num>
  <w:num w:numId="6">
    <w:abstractNumId w:val="5"/>
    <w:lvlOverride w:ilvl="0">
      <w:startOverride w:val="1"/>
    </w:lvlOverride>
  </w:num>
  <w:num w:numId="7">
    <w:abstractNumId w:val="6"/>
    <w:lvlOverride w:ilvl="0">
      <w:startOverride w:val="1"/>
    </w:lvlOverride>
  </w:num>
  <w:num w:numId="8">
    <w:abstractNumId w:val="9"/>
    <w:lvlOverride w:ilvl="0">
      <w:startOverride w:val="1"/>
    </w:lvlOverride>
  </w:num>
  <w:num w:numId="9">
    <w:abstractNumId w:val="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Title">
    <w:name w:val="Title"/>
    <w:basedOn w:val="Normal"/>
    <w:pPr>
      <w:spacing w:before="0" w:after="240"/>
      <w:jc w:val="center"/>
    </w:pPr>
    <w:rPr>
      <w:rFonts w:ascii="Arial" w:cs="Arial" w:eastAsia="Arial" w:hAnsi="Arial"/>
      <w:b/>
      <w:bCs/>
      <w:color w:val="1a365d"/>
      <w:sz w:val="56"/>
      <w:szCs w:val="56"/>
    </w:rPr>
  </w:style>
  <w:style w:type="paragraph" w:styleId="Heading1">
    <w:name w:val="Heading 1"/>
    <w:basedOn w:val="Normal"/>
    <w:next w:val="Normal"/>
    <w:qFormat/>
    <w:pPr>
      <w:spacing w:before="360" w:after="120"/>
      <w:outlineLvl w:val="0"/>
    </w:pPr>
    <w:rPr>
      <w:rFonts w:ascii="Arial" w:cs="Arial" w:eastAsia="Arial" w:hAnsi="Arial"/>
      <w:b/>
      <w:bCs/>
      <w:color w:val="1a365d"/>
      <w:sz w:val="32"/>
      <w:szCs w:val="32"/>
    </w:rPr>
  </w:style>
  <w:style w:type="paragraph" w:styleId="Heading2">
    <w:name w:val="Heading 2"/>
    <w:basedOn w:val="Normal"/>
    <w:next w:val="Normal"/>
    <w:qFormat/>
    <w:pPr>
      <w:spacing w:before="280" w:after="100"/>
      <w:outlineLvl w:val="1"/>
    </w:pPr>
    <w:rPr>
      <w:rFonts w:ascii="Arial" w:cs="Arial" w:eastAsia="Arial" w:hAnsi="Arial"/>
      <w:b/>
      <w:bCs/>
      <w:color w:val="2d4a6f"/>
      <w:sz w:val="26"/>
      <w:szCs w:val="26"/>
    </w:rPr>
  </w:style>
  <w:style w:type="paragraph" w:styleId="Heading3">
    <w:name w:val="Heading 3"/>
    <w:basedOn w:val="Normal"/>
    <w:next w:val="Normal"/>
    <w:qFormat/>
    <w:pPr>
      <w:spacing w:before="240" w:after="80"/>
      <w:outlineLvl w:val="2"/>
    </w:pPr>
    <w:rPr>
      <w:rFonts w:ascii="Arial" w:cs="Arial" w:eastAsia="Arial" w:hAnsi="Arial"/>
      <w:b/>
      <w:bCs/>
      <w:color w:val="3d5a80"/>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2025-11-27T00:05:47.635Z</dcterms:created>
  <dcterms:modified xsi:type="dcterms:W3CDTF">2025-11-27T00:05:47.636Z</dcterms:modified>
</cp:coreProperties>
</file>

<file path=docProps/custom.xml><?xml version="1.0" encoding="utf-8"?>
<Properties xmlns="http://schemas.openxmlformats.org/officeDocument/2006/custom-properties" xmlns:vt="http://schemas.openxmlformats.org/officeDocument/2006/docPropsVTypes"/>
</file>