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Title"/>
      </w:pPr>
      <w:r>
        <w:t xml:space="preserve">md2any</w:t>
      </w:r>
    </w:p>
    <w:p>
      <w:pPr>
        <w:pStyle w:val="Subtitle"/>
      </w:pPr>
      <w:r>
        <w:t xml:space="preserve">One markdown source · five document formats</w:t>
      </w:r>
    </w:p>
    <w:p>
      <w:pPr>
        <w:pStyle w:val="Subtitle"/>
      </w:pPr>
      <w:r>
        <w:t xml:space="preserve">md2any --help · built from the embedded HELP.md</w:t>
      </w:r>
    </w:p>
    <w:p>
      <w:pPr>
        <w:spacing w:before="240" w:after="200"/>
        <w:outlineLvl w:val="0"/>
      </w:pPr>
      <w:r>
        <w:rPr>
          <w:b/>
          <w:sz w:val="44"/>
        </w:rPr>
        <w:t xml:space="preserve">Quick start</w:t>
      </w:r>
    </w:p>
    <w:p>
      <w:pPr>
        <w:pStyle w:val="Heading2"/>
      </w:pPr>
      <w:r>
        <w:t xml:space="preserve">One command, five formats</w:t>
      </w:r>
    </w:p>
    <w:p>
      <w:pPr>
        <w:pStyle w:val="Normal"/>
      </w:pPr>
      <w:r>
        <w:t xml:space="preserve">You wrote Markdown. md2any turns it into a polished deliverable — slides, documents, or PDF — without spawning Office, calling a JRE, or running a Python pipeline.</w:t>
      </w:r>
    </w:p>
    <w:p>
      <w:pPr>
        <w:pStyle w:val="Normal"/>
      </w:pPr>
      <w:r>
        <w:rPr>
          <w:rStyle w:val="MetaLabel"/>
        </w:rPr>
        <w:t xml:space="preserve">bash</w:t>
      </w:r>
    </w:p>
    <w:p>
      <w:pPr>
        <w:pStyle w:val="CodeBlock"/>
      </w:pPr>
      <w:r>
        <w:t xml:space="preserve">md2any talk.md                 # → talk.pptx (PowerPoint)</w:t>
      </w:r>
    </w:p>
    <w:p>
      <w:pPr>
        <w:pStyle w:val="CodeBlock"/>
      </w:pPr>
      <w:r>
        <w:t xml:space="preserve">md2any talk.md -o talk.odp     # → talk.odp  (LibreOffice Impress)</w:t>
      </w:r>
    </w:p>
    <w:p>
      <w:pPr>
        <w:pStyle w:val="CodeBlock"/>
      </w:pPr>
      <w:r>
        <w:t xml:space="preserve">md2any talk.md -o talk.pdf     # → talk.pdf  (PDF 1.7)</w:t>
      </w:r>
    </w:p>
    <w:p>
      <w:pPr>
        <w:pStyle w:val="CodeBlock"/>
      </w:pPr>
      <w:r>
        <w:t xml:space="preserve">md2any talk.md -o talk.docx    # → talk.docx (Microsoft Word)</w:t>
      </w:r>
    </w:p>
    <w:p>
      <w:pPr>
        <w:pStyle w:val="CodeBlock"/>
      </w:pPr>
      <w:r>
        <w:t xml:space="preserve">md2any talk.md -o talk.odt     # → talk.odt  (LibreOffice Writer)</w:t>
      </w:r>
    </w:p>
    <w:p>
      <w:pPr>
        <w:pStyle w:val="Normal"/>
      </w:pPr>
      <w:r>
        <w:t xml:space="preserve">One Rust binary. No runtime dependencies. Cross-platform.</w:t>
      </w:r>
    </w:p>
    <w:p>
      <w:pPr>
        <w:pStyle w:val="Heading2"/>
      </w:pPr>
      <w:r>
        <w:t xml:space="preserve">Self-documenting</w:t>
      </w:r>
    </w:p>
    <w:p>
      <w:pPr>
        <w:pStyle w:val="Normal"/>
      </w:pPr>
      <w:r>
        <w:t xml:space="preserve">This deck is the embedded user manual. Regenerate it in any format, any layout, any theme:</w:t>
      </w:r>
    </w:p>
    <w:p>
      <w:pPr>
        <w:pStyle w:val="Normal"/>
      </w:pPr>
      <w:r>
        <w:rPr>
          <w:rStyle w:val="MetaLabel"/>
        </w:rPr>
        <w:t xml:space="preserve">bash</w:t>
      </w:r>
    </w:p>
    <w:p>
      <w:pPr>
        <w:pStyle w:val="CodeBlock"/>
      </w:pPr>
      <w:r>
        <w:t xml:space="preserve">md2any --help-pptx                       # this deck → md2any-help.pptx</w:t>
      </w:r>
    </w:p>
    <w:p>
      <w:pPr>
        <w:pStyle w:val="CodeBlock"/>
      </w:pPr>
      <w:r>
        <w:t xml:space="preserve">md2any --help-pdf --theme dark           # dark PDF</w:t>
      </w:r>
    </w:p>
    <w:p>
      <w:pPr>
        <w:pStyle w:val="CodeBlock"/>
      </w:pPr>
      <w:r>
        <w:t xml:space="preserve">md2any --help-odp --layout studio        # studio layout, ODP</w:t>
      </w:r>
    </w:p>
    <w:p>
      <w:pPr>
        <w:pStyle w:val="CodeBlock"/>
      </w:pPr>
      <w:r>
        <w:t xml:space="preserve">md2any --help-docx                       # → Word document</w:t>
      </w:r>
    </w:p>
    <w:p>
      <w:pPr>
        <w:pStyle w:val="CodeBlock"/>
      </w:pPr>
      <w:r>
        <w:t xml:space="preserve">md2any --help-odt                        # → LibreOffice Writer document</w:t>
      </w:r>
    </w:p>
    <w:p>
      <w:pPr>
        <w:pStyle w:val="CodeBlock"/>
      </w:pPr>
      <w:r>
        <w:t xml:space="preserve">md2any --help-md &gt; HELP.md               # raw markdown source</w:t>
      </w:r>
    </w:p>
    <w:p>
      <w:pPr>
        <w:pStyle w:val="Normal"/>
      </w:pPr>
      <w:r>
        <w:t xml:space="preserve">Every </w:t>
      </w:r>
      <w:r>
        <w:rPr>
          <w:rStyle w:val="InlineCode"/>
        </w:rPr>
        <w:t xml:space="preserve">--help-*</w:t>
      </w:r>
      <w:r>
        <w:t xml:space="preserve"> flag respects every other flag.</w:t>
      </w:r>
    </w:p>
    <w:p>
      <w:pPr>
        <w:pStyle w:val="Heading1"/>
      </w:pPr>
      <w:r>
        <w:t xml:space="preserve">Anatomy of a deck</w:t>
      </w:r>
    </w:p>
    <w:p>
      <w:pPr>
        <w:pStyle w:val="Heading2"/>
      </w:pPr>
      <w:r>
        <w:t xml:space="preserve">Pagination rules</w:t>
      </w:r>
    </w:p>
    <w:p>
      <w:pPr>
        <w:pStyle w:val="Normal"/>
      </w:pPr>
      <w:r>
        <w:t xml:space="preserve">md2any turns Markdown headings into slides. Memorize three rules:</w:t>
      </w:r>
    </w:p>
    <w:p>
      <w:pPr>
        <w:pStyle w:val="ListParagraph"/>
        <w:numPr>
          <w:ilvl w:val="0"/>
          <w:numId w:val="1"/>
        </w:numPr>
      </w:pPr>
      <w:r>
        <w:t xml:space="preserve">The first </w:t>
      </w:r>
      <w:r>
        <w:rPr>
          <w:rStyle w:val="InlineCode"/>
        </w:rPr>
        <w:t xml:space="preserve"># H1</w:t>
      </w:r>
      <w:r>
        <w:t xml:space="preserve"> (or the front-matter </w:t>
      </w:r>
      <w:r>
        <w:rPr>
          <w:rStyle w:val="InlineCode"/>
        </w:rPr>
        <w:t xml:space="preserve">title</w:t>
      </w:r>
      <w:r>
        <w:t xml:space="preserve">) becomes the </w:t>
      </w:r>
      <w:r>
        <w:rPr>
          <w:b/>
        </w:rPr>
        <w:t xml:space="preserve">title slide</w:t>
      </w:r>
    </w:p>
    <w:p>
      <w:pPr>
        <w:pStyle w:val="ListParagraph"/>
        <w:numPr>
          <w:ilvl w:val="0"/>
          <w:numId w:val="1"/>
        </w:numPr>
      </w:pPr>
      <w:r>
        <w:t xml:space="preserve">Every subsequent </w:t>
      </w:r>
      <w:r>
        <w:rPr>
          <w:rStyle w:val="InlineCode"/>
        </w:rPr>
        <w:t xml:space="preserve"># H1</w:t>
      </w:r>
      <w:r>
        <w:t xml:space="preserve"> becomes a </w:t>
      </w:r>
      <w:r>
        <w:rPr>
          <w:b/>
        </w:rPr>
        <w:t xml:space="preserve">section divider</w:t>
      </w:r>
    </w:p>
    <w:p>
      <w:pPr>
        <w:pStyle w:val="ListParagraph"/>
        <w:numPr>
          <w:ilvl w:val="0"/>
          <w:numId w:val="1"/>
        </w:numPr>
      </w:pPr>
      <w:r>
        <w:t xml:space="preserve">Every </w:t>
      </w:r>
      <w:r>
        <w:rPr>
          <w:rStyle w:val="InlineCode"/>
        </w:rPr>
        <w:t xml:space="preserve">## H2</w:t>
      </w:r>
      <w:r>
        <w:t xml:space="preserve"> starts a </w:t>
      </w:r>
      <w:r>
        <w:rPr>
          <w:b/>
        </w:rPr>
        <w:t xml:space="preserve">content slide</w:t>
      </w:r>
    </w:p>
    <w:p>
      <w:pPr>
        <w:pStyle w:val="ListParagraph"/>
        <w:numPr>
          <w:ilvl w:val="0"/>
          <w:numId w:val="1"/>
        </w:numPr>
      </w:pPr>
      <w:r>
        <w:t xml:space="preserve">A horizontal rule </w:t>
      </w:r>
      <w:r>
        <w:rPr>
          <w:rStyle w:val="InlineCode"/>
        </w:rPr>
        <w:t xml:space="preserve">---</w:t>
      </w:r>
      <w:r>
        <w:t xml:space="preserve"> forces a slide break without changing the title</w:t>
      </w:r>
    </w:p>
    <w:p>
      <w:pPr>
        <w:pStyle w:val="ListParagraph"/>
        <w:numPr>
          <w:ilvl w:val="0"/>
          <w:numId w:val="1"/>
        </w:numPr>
      </w:pPr>
      <w:r>
        <w:rPr>
          <w:rStyle w:val="InlineCode"/>
        </w:rPr>
        <w:t xml:space="preserve">### H3</w:t>
      </w:r>
      <w:r>
        <w:t xml:space="preserve"> and deeper render as inline headings on the current slide</w:t>
      </w:r>
    </w:p>
    <w:p>
      <w:pPr>
        <w:pStyle w:val="Normal"/>
      </w:pPr>
      <w:r>
        <w:t xml:space="preserve">Long content auto-paginates into </w:t>
      </w:r>
      <w:r>
        <w:rPr>
          <w:rStyle w:val="InlineCode"/>
        </w:rPr>
        <w:t xml:space="preserve">(cont.)</w:t>
      </w:r>
      <w:r>
        <w:t xml:space="preserve"> slides. Lists with more than 12 items wrap into two columns automatically (except in portrait mode). Pagination is skipped in DOCX/ODT — those formats flow continuously and let the consumer paginate.</w:t>
      </w:r>
    </w:p>
    <w:p>
      <w:pPr>
        <w:pStyle w:val="Heading2"/>
      </w:pPr>
      <w:r>
        <w:t xml:space="preserve">Front matter</w:t>
      </w:r>
    </w:p>
    <w:p>
      <w:pPr>
        <w:pStyle w:val="Normal"/>
      </w:pPr>
      <w:r>
        <w:t xml:space="preserve">Put YAML between </w:t>
      </w:r>
      <w:r>
        <w:rPr>
          <w:rStyle w:val="InlineCode"/>
        </w:rPr>
        <w:t xml:space="preserve">---</w:t>
      </w:r>
      <w:r>
        <w:t xml:space="preserve"> fences at the top of the file.</w:t>
      </w:r>
    </w:p>
    <w:p>
      <w:pPr>
        <w:pStyle w:val="Heading2"/>
      </w:pPr>
      <w:r>
        <w:t xml:space="preserve">Front matter</w:t>
      </w:r>
    </w:p>
    <w:p>
      <w:pPr>
        <w:pStyle w:val="Normal"/>
      </w:pPr>
      <w:r>
        <w:rPr>
          <w:rStyle w:val="MetaLabel"/>
        </w:rPr>
        <w:t xml:space="preserve">yaml</w:t>
      </w:r>
    </w:p>
    <w:p>
      <w:pPr>
        <w:pStyle w:val="CodeBlock"/>
      </w:pPr>
      <w:r>
        <w:t xml:space="preserve">---</w:t>
      </w:r>
    </w:p>
    <w:p>
      <w:pPr>
        <w:pStyle w:val="CodeBlock"/>
      </w:pPr>
      <w:r>
        <w:t xml:space="preserve">title: My Talk</w:t>
      </w:r>
    </w:p>
    <w:p>
      <w:pPr>
        <w:pStyle w:val="CodeBlock"/>
      </w:pPr>
      <w:r>
        <w:t xml:space="preserve">subtitle: A subtitle for the title slide</w:t>
      </w:r>
    </w:p>
    <w:p>
      <w:pPr>
        <w:pStyle w:val="CodeBlock"/>
      </w:pPr>
      <w:r>
        <w:t xml:space="preserve">author: Your Name</w:t>
      </w:r>
    </w:p>
    <w:p>
      <w:pPr>
        <w:pStyle w:val="CodeBlock"/>
      </w:pPr>
      <w:r>
        <w:t xml:space="preserve">date: auto              # or 2026-05-23, or "today"</w:t>
      </w:r>
    </w:p>
    <w:p>
      <w:pPr>
        <w:pStyle w:val="CodeBlock"/>
      </w:pPr>
      <w:r>
        <w:t xml:space="preserve">theme: light            # light | dark</w:t>
      </w:r>
    </w:p>
    <w:p>
      <w:pPr>
        <w:pStyle w:val="CodeBlock"/>
      </w:pPr>
      <w:r>
        <w:t xml:space="preserve">aspect: 16:9            # see "Aspect ratios" below for all presets,</w:t>
      </w:r>
    </w:p>
    <w:p>
      <w:pPr>
        <w:pStyle w:val="CodeBlock"/>
      </w:pPr>
      <w:r>
        <w:t xml:space="preserve">                        # or `WxH[unit]` e.g. 1920x1080, 300x200mm, 13.3x7.5in</w:t>
      </w:r>
    </w:p>
    <w:p>
      <w:pPr>
        <w:pStyle w:val="CodeBlock"/>
      </w:pPr>
      <w:r>
        <w:t xml:space="preserve">layout: clean           # clean | studio | frame | bold</w:t>
      </w:r>
    </w:p>
    <w:p>
      <w:pPr>
        <w:pStyle w:val="CodeBlock"/>
      </w:pPr>
      <w:r>
        <w:t xml:space="preserve">font: Inter             # any installed font (PPTX/ODP/DOCX/ODT)</w:t>
      </w:r>
    </w:p>
    <w:p>
      <w:pPr>
        <w:pStyle w:val="CodeBlock"/>
      </w:pPr>
      <w:r>
        <w:t xml:space="preserve">logo: brand.png         # rendered in slide footer</w:t>
      </w:r>
    </w:p>
    <w:p>
      <w:pPr>
        <w:pStyle w:val="CodeBlock"/>
      </w:pPr>
      <w:r>
        <w:t xml:space="preserve">toc: true               # inject a Contents slide after the title</w:t>
      </w:r>
    </w:p>
    <w:p>
      <w:pPr>
        <w:pStyle w:val="CodeBlock"/>
      </w:pPr>
      <w:r>
        <w:t xml:space="preserve">transition: fade        # none | fade | push | wipe | cover | split</w:t>
      </w:r>
    </w:p>
    <w:p>
      <w:pPr>
        <w:pStyle w:val="CodeBlock"/>
      </w:pPr>
      <w:r>
        <w:t xml:space="preserve">transition_duration: 0.6  # seconds</w:t>
      </w:r>
    </w:p>
    <w:p>
      <w:pPr>
        <w:pStyle w:val="CodeBlock"/>
      </w:pPr>
      <w:r>
        <w:t xml:space="preserve">direction: ltr          # ltr | rtl</w:t>
      </w:r>
    </w:p>
    <w:p>
      <w:pPr>
        <w:pStyle w:val="CodeBlock"/>
      </w:pPr>
      <w:r>
        <w:t xml:space="preserve">---</w:t>
      </w:r>
    </w:p>
    <w:p>
      <w:pPr>
        <w:pStyle w:val="Heading2"/>
      </w:pPr>
      <w:r>
        <w:t xml:space="preserve">Front matter</w:t>
      </w:r>
    </w:p>
    <w:p>
      <w:pPr>
        <w:pStyle w:val="Normal"/>
      </w:pPr>
      <w:r>
        <w:t xml:space="preserve">Every key is optional. CLI flags override front matter; front matter overrides defaults.</w:t>
      </w:r>
    </w:p>
    <w:p>
      <w:pPr>
        <w:pStyle w:val="Heading1"/>
      </w:pPr>
      <w:r>
        <w:t xml:space="preserve">Markdown reference</w:t>
      </w:r>
    </w:p>
    <w:p>
      <w:pPr>
        <w:pStyle w:val="Heading2"/>
      </w:pPr>
      <w:r>
        <w:t xml:space="preserve">Inline formatting</w:t>
      </w:r>
    </w:p>
    <w:p>
      <w:pPr>
        <w:pStyle w:val="Normal"/>
      </w:pPr>
      <w:r>
        <w:t xml:space="preserve">The usual:</w:t>
      </w:r>
    </w:p>
    <w:p>
      <w:pPr>
        <w:pStyle w:val="ListParagraph"/>
        <w:numPr>
          <w:ilvl w:val="0"/>
          <w:numId w:val="1"/>
        </w:numPr>
      </w:pPr>
      <w:r>
        <w:rPr>
          <w:rStyle w:val="InlineCode"/>
        </w:rPr>
        <w:t xml:space="preserve">**bold**</w:t>
      </w:r>
      <w:r>
        <w:t xml:space="preserve"> → </w:t>
      </w:r>
      <w:r>
        <w:rPr>
          <w:b/>
        </w:rPr>
        <w:t xml:space="preserve">bold</w:t>
      </w:r>
    </w:p>
    <w:p>
      <w:pPr>
        <w:pStyle w:val="ListParagraph"/>
        <w:numPr>
          <w:ilvl w:val="0"/>
          <w:numId w:val="1"/>
        </w:numPr>
      </w:pPr>
      <w:r>
        <w:rPr>
          <w:rStyle w:val="InlineCode"/>
        </w:rPr>
        <w:t xml:space="preserve">*italic*</w:t>
      </w:r>
      <w:r>
        <w:t xml:space="preserve"> → </w:t>
      </w:r>
      <w:r>
        <w:rPr>
          <w:i/>
        </w:rPr>
        <w:t xml:space="preserve">italic</w:t>
      </w:r>
    </w:p>
    <w:p>
      <w:pPr>
        <w:pStyle w:val="ListParagraph"/>
        <w:numPr>
          <w:ilvl w:val="0"/>
          <w:numId w:val="1"/>
        </w:numPr>
      </w:pPr>
      <w:r>
        <w:rPr>
          <w:rStyle w:val="InlineCode"/>
        </w:rPr>
        <w:t xml:space="preserve">`inline code`</w:t>
      </w:r>
      <w:r>
        <w:t xml:space="preserve"> → </w:t>
      </w:r>
      <w:r>
        <w:rPr>
          <w:rStyle w:val="InlineCode"/>
        </w:rPr>
        <w:t xml:space="preserve">inline code</w:t>
      </w:r>
    </w:p>
    <w:p>
      <w:pPr>
        <w:pStyle w:val="ListParagraph"/>
        <w:numPr>
          <w:ilvl w:val="0"/>
          <w:numId w:val="1"/>
        </w:numPr>
      </w:pPr>
      <w:r>
        <w:rPr>
          <w:rStyle w:val="InlineCode"/>
        </w:rPr>
        <w:t xml:space="preserve">~~strikethrough~~</w:t>
      </w:r>
      <w:r>
        <w:t xml:space="preserve"> → </w:t>
      </w:r>
      <w:r>
        <w:rPr>
          <w:strike/>
        </w:rPr>
        <w:t xml:space="preserve">strikethrough</w:t>
      </w:r>
    </w:p>
    <w:p>
      <w:pPr>
        <w:pStyle w:val="ListParagraph"/>
        <w:numPr>
          <w:ilvl w:val="0"/>
          <w:numId w:val="1"/>
        </w:numPr>
      </w:pPr>
      <w:r>
        <w:rPr>
          <w:rStyle w:val="InlineCode"/>
        </w:rPr>
        <w:t xml:space="preserve">[link text](url)</w:t>
      </w:r>
      <w:r>
        <w:t xml:space="preserve"> → </w:t>
      </w:r>
      <w:hyperlink r:id="rId4" w:history="1">
        <w:r>
          <w:rPr>
            <w:rStyle w:val="Hyperlink"/>
          </w:rPr>
          <w:t xml:space="preserve">link text</w:t>
        </w:r>
      </w:hyperlink>
      <w:r>
        <w:t xml:space="preserve"> — </w:t>
      </w:r>
      <w:r>
        <w:rPr>
          <w:b/>
        </w:rPr>
        <w:t xml:space="preserve">clickable in every format</w:t>
      </w:r>
    </w:p>
    <w:p>
      <w:pPr>
        <w:pStyle w:val="Normal"/>
      </w:pPr>
      <w:r>
        <w:t xml:space="preserve">All five output formats render these natively — no HTML, no extension.</w:t>
      </w:r>
    </w:p>
    <w:p>
      <w:pPr>
        <w:pStyle w:val="Heading2"/>
      </w:pPr>
      <w:r>
        <w:t xml:space="preserve">Lists</w:t>
      </w:r>
    </w:p>
    <w:p>
      <w:pPr>
        <w:pStyle w:val="Normal"/>
      </w:pPr>
      <w:r>
        <w:t xml:space="preserve">Nested up to nine levels. Numbered and bulleted lists are independent.</w:t>
      </w:r>
    </w:p>
    <w:p>
      <w:pPr>
        <w:pStyle w:val="ListParagraph"/>
        <w:numPr>
          <w:ilvl w:val="0"/>
          <w:numId w:val="1"/>
        </w:numPr>
      </w:pPr>
      <w:r>
        <w:t xml:space="preserve">First level item</w:t>
      </w:r>
    </w:p>
    <w:p>
      <w:pPr>
        <w:pStyle w:val="ListParagraph"/>
        <w:numPr>
          <w:ilvl w:val="0"/>
          <w:numId w:val="1"/>
        </w:numPr>
      </w:pPr>
      <w:r>
        <w:t xml:space="preserve">Second top-level item</w:t>
      </w:r>
    </w:p>
    <w:p>
      <w:pPr>
        <w:pStyle w:val="ListParagraph"/>
        <w:numPr>
          <w:ilvl w:val="1"/>
          <w:numId w:val="1"/>
        </w:numPr>
      </w:pPr>
      <w:r>
        <w:t xml:space="preserve">Nested item</w:t>
      </w:r>
    </w:p>
    <w:p>
      <w:pPr>
        <w:pStyle w:val="ListParagraph"/>
        <w:numPr>
          <w:ilvl w:val="1"/>
          <w:numId w:val="1"/>
        </w:numPr>
      </w:pPr>
      <w:r>
        <w:t xml:space="preserve">Another nested item</w:t>
      </w:r>
    </w:p>
    <w:p>
      <w:pPr>
        <w:pStyle w:val="ListParagraph"/>
        <w:numPr>
          <w:ilvl w:val="2"/>
          <w:numId w:val="1"/>
        </w:numPr>
      </w:pPr>
      <w:r>
        <w:t xml:space="preserve">Triple-nested</w:t>
      </w:r>
    </w:p>
    <w:p>
      <w:pPr>
        <w:pStyle w:val="ListParagraph"/>
        <w:numPr>
          <w:ilvl w:val="0"/>
          <w:numId w:val="1"/>
        </w:numPr>
      </w:pPr>
      <w:r>
        <w:t xml:space="preserve">Back to level 1</w:t>
      </w:r>
    </w:p>
    <w:p>
      <w:pPr>
        <w:pStyle w:val="Normal"/>
      </w:pPr>
      <w:r>
        <w:rPr>
          <w:rStyle w:val="MetaLabel"/>
        </w:rPr>
        <w:t xml:space="preserve">markdown</w:t>
      </w:r>
    </w:p>
    <w:p>
      <w:pPr>
        <w:pStyle w:val="CodeBlock"/>
      </w:pPr>
      <w:r>
        <w:t xml:space="preserve">1. Step one</w:t>
      </w:r>
    </w:p>
    <w:p>
      <w:pPr>
        <w:pStyle w:val="CodeBlock"/>
      </w:pPr>
      <w:r>
        <w:t xml:space="preserve">2. Step two</w:t>
      </w:r>
    </w:p>
    <w:p>
      <w:pPr>
        <w:pStyle w:val="CodeBlock"/>
      </w:pPr>
      <w:r>
        <w:t xml:space="preserve">   1. Sub-step</w:t>
      </w:r>
    </w:p>
    <w:p>
      <w:pPr>
        <w:pStyle w:val="CodeBlock"/>
      </w:pPr>
      <w:r>
        <w:t xml:space="preserve">   2. Another sub-step</w:t>
      </w:r>
    </w:p>
    <w:p>
      <w:pPr>
        <w:pStyle w:val="CodeBlock"/>
      </w:pPr>
      <w:r>
        <w:t xml:space="preserve">3. Step three</w:t>
      </w:r>
    </w:p>
    <w:p>
      <w:pPr>
        <w:pStyle w:val="Heading2"/>
      </w:pPr>
      <w:r>
        <w:t xml:space="preserve">Lists</w:t>
      </w:r>
    </w:p>
    <w:p>
      <w:pPr>
        <w:pStyle w:val="Normal"/>
      </w:pPr>
      <w:r>
        <w:t xml:space="preserve">If a list has more than 12 items, md2any auto-flows it into two columns (slide output only).</w:t>
      </w:r>
    </w:p>
    <w:p>
      <w:pPr>
        <w:pStyle w:val="Heading2"/>
      </w:pPr>
      <w:r>
        <w:t xml:space="preserve">Code blocks</w:t>
      </w:r>
    </w:p>
    <w:p>
      <w:pPr>
        <w:pStyle w:val="Normal"/>
      </w:pPr>
      <w:r>
        <w:t xml:space="preserve">Fenced code blocks pick up syntax highlighting from the language tag. Twenty languages built in:</w:t>
      </w:r>
    </w:p>
    <w:p>
      <w:pPr>
        <w:pStyle w:val="ListParagraph"/>
        <w:numPr>
          <w:ilvl w:val="0"/>
          <w:numId w:val="1"/>
        </w:numPr>
      </w:pPr>
      <w:r>
        <w:t xml:space="preserve">Mainstream: </w:t>
      </w:r>
      <w:r>
        <w:rPr>
          <w:rStyle w:val="InlineCode"/>
        </w:rPr>
        <w:t xml:space="preserve">rust</w:t>
      </w:r>
      <w:r>
        <w:t xml:space="preserve">, </w:t>
      </w:r>
      <w:r>
        <w:rPr>
          <w:rStyle w:val="InlineCode"/>
        </w:rPr>
        <w:t xml:space="preserve">python</w:t>
      </w:r>
      <w:r>
        <w:t xml:space="preserve">, </w:t>
      </w:r>
      <w:r>
        <w:rPr>
          <w:rStyle w:val="InlineCode"/>
        </w:rPr>
        <w:t xml:space="preserve">js</w:t>
      </w:r>
      <w:r>
        <w:t xml:space="preserve"> / </w:t>
      </w:r>
      <w:r>
        <w:rPr>
          <w:rStyle w:val="InlineCode"/>
        </w:rPr>
        <w:t xml:space="preserve">ts</w:t>
      </w:r>
      <w:r>
        <w:t xml:space="preserve">, </w:t>
      </w:r>
      <w:r>
        <w:rPr>
          <w:rStyle w:val="InlineCode"/>
        </w:rPr>
        <w:t xml:space="preserve">go</w:t>
      </w:r>
      <w:r>
        <w:t xml:space="preserve">, </w:t>
      </w:r>
      <w:r>
        <w:rPr>
          <w:rStyle w:val="InlineCode"/>
        </w:rPr>
        <w:t xml:space="preserve">c</w:t>
      </w:r>
      <w:r>
        <w:t xml:space="preserve"> / </w:t>
      </w:r>
      <w:r>
        <w:rPr>
          <w:rStyle w:val="InlineCode"/>
        </w:rPr>
        <w:t xml:space="preserve">cpp</w:t>
      </w:r>
      <w:r>
        <w:t xml:space="preserve">, </w:t>
      </w:r>
      <w:r>
        <w:rPr>
          <w:rStyle w:val="InlineCode"/>
        </w:rPr>
        <w:t xml:space="preserve">java</w:t>
      </w:r>
      <w:r>
        <w:t xml:space="preserve">, </w:t>
      </w:r>
      <w:r>
        <w:rPr>
          <w:rStyle w:val="InlineCode"/>
        </w:rPr>
        <w:t xml:space="preserve">ruby</w:t>
      </w:r>
      <w:r>
        <w:t xml:space="preserve">, </w:t>
      </w:r>
      <w:r>
        <w:rPr>
          <w:rStyle w:val="InlineCode"/>
        </w:rPr>
        <w:t xml:space="preserve">bash</w:t>
      </w:r>
      <w:r>
        <w:t xml:space="preserve">, </w:t>
      </w:r>
      <w:r>
        <w:rPr>
          <w:rStyle w:val="InlineCode"/>
        </w:rPr>
        <w:t xml:space="preserve">sql</w:t>
      </w:r>
    </w:p>
    <w:p>
      <w:pPr>
        <w:pStyle w:val="ListParagraph"/>
        <w:numPr>
          <w:ilvl w:val="0"/>
          <w:numId w:val="1"/>
        </w:numPr>
      </w:pPr>
      <w:r>
        <w:t xml:space="preserve">Data: </w:t>
      </w:r>
      <w:r>
        <w:rPr>
          <w:rStyle w:val="InlineCode"/>
        </w:rPr>
        <w:t xml:space="preserve">json</w:t>
      </w:r>
      <w:r>
        <w:t xml:space="preserve">, </w:t>
      </w:r>
      <w:r>
        <w:rPr>
          <w:rStyle w:val="InlineCode"/>
        </w:rPr>
        <w:t xml:space="preserve">yaml</w:t>
      </w:r>
      <w:r>
        <w:t xml:space="preserve">, </w:t>
      </w:r>
      <w:r>
        <w:rPr>
          <w:rStyle w:val="InlineCode"/>
        </w:rPr>
        <w:t xml:space="preserve">toml</w:t>
      </w:r>
    </w:p>
    <w:p>
      <w:pPr>
        <w:pStyle w:val="ListParagraph"/>
        <w:numPr>
          <w:ilvl w:val="0"/>
          <w:numId w:val="1"/>
        </w:numPr>
      </w:pPr>
      <w:r>
        <w:t xml:space="preserve">Markup: </w:t>
      </w:r>
      <w:r>
        <w:rPr>
          <w:rStyle w:val="InlineCode"/>
        </w:rPr>
        <w:t xml:space="preserve">html</w:t>
      </w:r>
      <w:r>
        <w:t xml:space="preserve">, </w:t>
      </w:r>
      <w:r>
        <w:rPr>
          <w:rStyle w:val="InlineCode"/>
        </w:rPr>
        <w:t xml:space="preserve">xml</w:t>
      </w:r>
      <w:r>
        <w:t xml:space="preserve">, </w:t>
      </w:r>
      <w:r>
        <w:rPr>
          <w:rStyle w:val="InlineCode"/>
        </w:rPr>
        <w:t xml:space="preserve">css</w:t>
      </w:r>
    </w:p>
    <w:p>
      <w:pPr>
        <w:pStyle w:val="ListParagraph"/>
        <w:numPr>
          <w:ilvl w:val="0"/>
          <w:numId w:val="1"/>
        </w:numPr>
      </w:pPr>
      <w:r>
        <w:t xml:space="preserve">Mainframe: </w:t>
      </w:r>
      <w:r>
        <w:rPr>
          <w:rStyle w:val="InlineCode"/>
        </w:rPr>
        <w:t xml:space="preserve">cobol</w:t>
      </w:r>
      <w:r>
        <w:t xml:space="preserve">, </w:t>
      </w:r>
      <w:r>
        <w:rPr>
          <w:rStyle w:val="InlineCode"/>
        </w:rPr>
        <w:t xml:space="preserve">jcl</w:t>
      </w:r>
      <w:r>
        <w:t xml:space="preserve">, </w:t>
      </w:r>
      <w:r>
        <w:rPr>
          <w:rStyle w:val="InlineCode"/>
        </w:rPr>
        <w:t xml:space="preserve">rexx</w:t>
      </w:r>
      <w:r>
        <w:t xml:space="preserve">, </w:t>
      </w:r>
      <w:r>
        <w:rPr>
          <w:rStyle w:val="InlineCode"/>
        </w:rPr>
        <w:t xml:space="preserve">pli</w:t>
      </w:r>
      <w:r>
        <w:t xml:space="preserve">, </w:t>
      </w:r>
      <w:r>
        <w:rPr>
          <w:rStyle w:val="InlineCode"/>
        </w:rPr>
        <w:t xml:space="preserve">hlasm</w:t>
      </w:r>
      <w:r>
        <w:t xml:space="preserve">, </w:t>
      </w:r>
      <w:r>
        <w:rPr>
          <w:rStyle w:val="InlineCode"/>
        </w:rPr>
        <w:t xml:space="preserve">db2</w:t>
      </w:r>
    </w:p>
    <w:p>
      <w:pPr>
        <w:pStyle w:val="Heading2"/>
      </w:pPr>
      <w:r>
        <w:t xml:space="preserve">Code blocks (continued)</w:t>
      </w:r>
    </w:p>
    <w:p>
      <w:pPr>
        <w:pStyle w:val="Normal"/>
      </w:pPr>
      <w:r>
        <w:t xml:space="preserve">A bare fence picks the language only:</w:t>
      </w:r>
    </w:p>
    <w:p>
      <w:pPr>
        <w:pStyle w:val="CodeBlock"/>
      </w:pPr>
      <w:r>
        <w:t xml:space="preserve">```rust</w:t>
      </w:r>
    </w:p>
    <w:p>
      <w:pPr>
        <w:pStyle w:val="CodeBlock"/>
      </w:pPr>
      <w:r>
        <w:t xml:space="preserve">fn main() { println!("hi"); }</w:t>
      </w:r>
    </w:p>
    <w:p>
      <w:pPr>
        <w:pStyle w:val="CodeBlock"/>
      </w:pPr>
      <w:r>
        <w:t xml:space="preserve">```</w:t>
      </w:r>
    </w:p>
    <w:p>
      <w:pPr>
        <w:pStyle w:val="Normal"/>
      </w:pPr>
      <w:r>
        <w:t xml:space="preserve">Add a filename after the language and md2any renders a header bar:</w:t>
      </w:r>
    </w:p>
    <w:p>
      <w:pPr>
        <w:pStyle w:val="CodeBlock"/>
      </w:pPr>
      <w:r>
        <w:t xml:space="preserve">```rust src/main.rs</w:t>
      </w:r>
    </w:p>
    <w:p>
      <w:pPr>
        <w:pStyle w:val="CodeBlock"/>
      </w:pPr>
      <w:r>
        <w:t xml:space="preserve">fn main() { println!("hi"); }</w:t>
      </w:r>
    </w:p>
    <w:p>
      <w:pPr>
        <w:pStyle w:val="CodeBlock"/>
      </w:pPr>
      <w:r>
        <w:t xml:space="preserve">```</w:t>
      </w:r>
    </w:p>
    <w:p>
      <w:pPr>
        <w:pStyle w:val="Normal"/>
      </w:pPr>
      <w:r>
        <w:t xml:space="preserve">Code blocks longer than five lines get line numbers automatically.</w:t>
      </w:r>
    </w:p>
    <w:p>
      <w:pPr>
        <w:pStyle w:val="Heading2"/>
      </w:pPr>
      <w:r>
        <w:t xml:space="preserve">Tables</w:t>
      </w:r>
    </w:p>
    <w:p>
      <w:pPr>
        <w:pStyle w:val="Normal"/>
      </w:pPr>
      <w:r>
        <w:t xml:space="preserve">GitHub-flavored Markdown tables. Banded rows, accent-colored header.</w:t>
      </w:r>
    </w:p>
    <w:tbl>
      <w:tblPr>
        <w:tblW w:w="0" w:type="auto"/>
        <w:tblBorders>
          <w:top w:val="single" w:sz="4" w:color="CCCCCC"/>
          <w:left w:val="single" w:sz="4" w:color="CCCCCC"/>
          <w:bottom w:val="single" w:sz="4" w:color="CCCCCC"/>
          <w:right w:val="single" w:sz="4" w:color="CCCCCC"/>
          <w:insideH w:val="single" w:sz="4" w:color="EEEEEE"/>
          <w:insideV w:val="single" w:sz="4" w:color="EEEEEE"/>
        </w:tblBorders>
      </w:tblPr>
      <w:tblGrid>
        <w:gridCol w:w="3000"/>
        <w:gridCol w:w="3000"/>
        <w:gridCol w:w="3000"/>
      </w:tblGrid>
      <w:tr>
        <w:trPr>
          <w:tblHeader/>
        </w:trPr>
        <w:tc>
          <w:tcPr>
            <w:tcW w:w="3000" w:type="dxa"/>
            <w:shd w:val="clear" w:color="auto" w:fill="F1F5F9"/>
          </w:tcPr>
          <w:p>
            <w:pPr>
              <w:pStyle w:val="Normal"/>
            </w:pPr>
            <w:r>
              <w:rPr>
                <w:b/>
              </w:rPr>
              <w:t xml:space="preserve">Column</w:t>
            </w:r>
          </w:p>
        </w:tc>
        <w:tc>
          <w:tcPr>
            <w:tcW w:w="3000" w:type="dxa"/>
            <w:shd w:val="clear" w:color="auto" w:fill="F1F5F9"/>
          </w:tcPr>
          <w:p>
            <w:pPr>
              <w:pStyle w:val="Normal"/>
            </w:pPr>
            <w:r>
              <w:rPr>
                <w:b/>
              </w:rPr>
              <w:t xml:space="preserve">Type</w:t>
            </w:r>
          </w:p>
        </w:tc>
        <w:tc>
          <w:tcPr>
            <w:tcW w:w="3000" w:type="dxa"/>
            <w:shd w:val="clear" w:color="auto" w:fill="F1F5F9"/>
          </w:tcPr>
          <w:p>
            <w:pPr>
              <w:pStyle w:val="Normal"/>
            </w:pPr>
            <w:r>
              <w:rPr>
                <w:b/>
              </w:rPr>
              <w:t xml:space="preserve">Notes</w:t>
            </w:r>
          </w:p>
        </w:tc>
      </w:tr>
      <w:tr>
        <w:tc>
          <w:tcPr>
            <w:tcW w:w="3000" w:type="dxa"/>
          </w:tcPr>
          <w:p>
            <w:pPr>
              <w:pStyle w:val="Normal"/>
            </w:pPr>
            <w:r>
              <w:t xml:space="preserve">name</w:t>
            </w:r>
          </w:p>
        </w:tc>
        <w:tc>
          <w:tcPr>
            <w:tcW w:w="3000" w:type="dxa"/>
          </w:tcPr>
          <w:p>
            <w:pPr>
              <w:pStyle w:val="Normal"/>
            </w:pPr>
            <w:r>
              <w:t xml:space="preserve">text</w:t>
            </w:r>
          </w:p>
        </w:tc>
        <w:tc>
          <w:tcPr>
            <w:tcW w:w="3000" w:type="dxa"/>
          </w:tcPr>
          <w:p>
            <w:pPr>
              <w:pStyle w:val="Normal"/>
            </w:pPr>
            <w:r>
              <w:t xml:space="preserve">first column</w:t>
            </w:r>
          </w:p>
        </w:tc>
      </w:tr>
      <w:tr>
        <w:tc>
          <w:tcPr>
            <w:tcW w:w="3000" w:type="dxa"/>
          </w:tcPr>
          <w:p>
            <w:pPr>
              <w:pStyle w:val="Normal"/>
            </w:pPr>
            <w:r>
              <w:t xml:space="preserve">size</w:t>
            </w:r>
          </w:p>
        </w:tc>
        <w:tc>
          <w:tcPr>
            <w:tcW w:w="3000" w:type="dxa"/>
          </w:tcPr>
          <w:p>
            <w:pPr>
              <w:pStyle w:val="Normal"/>
            </w:pPr>
            <w:r>
              <w:t xml:space="preserve">int</w:t>
            </w:r>
          </w:p>
        </w:tc>
        <w:tc>
          <w:tcPr>
            <w:tcW w:w="3000" w:type="dxa"/>
          </w:tcPr>
          <w:p>
            <w:pPr>
              <w:pStyle w:val="Normal"/>
            </w:pPr>
            <w:r>
              <w:t xml:space="preserve">second column</w:t>
            </w:r>
          </w:p>
        </w:tc>
      </w:tr>
      <w:tr>
        <w:tc>
          <w:tcPr>
            <w:tcW w:w="3000" w:type="dxa"/>
          </w:tcPr>
          <w:p>
            <w:pPr>
              <w:pStyle w:val="Normal"/>
            </w:pPr>
            <w:r>
              <w:t xml:space="preserve">active</w:t>
            </w:r>
          </w:p>
        </w:tc>
        <w:tc>
          <w:tcPr>
            <w:tcW w:w="3000" w:type="dxa"/>
          </w:tcPr>
          <w:p>
            <w:pPr>
              <w:pStyle w:val="Normal"/>
            </w:pPr>
            <w:r>
              <w:t xml:space="preserve">bool</w:t>
            </w:r>
          </w:p>
        </w:tc>
        <w:tc>
          <w:tcPr>
            <w:tcW w:w="3000" w:type="dxa"/>
          </w:tcPr>
          <w:p>
            <w:pPr>
              <w:pStyle w:val="Normal"/>
            </w:pPr>
            <w:r>
              <w:t xml:space="preserve">third column</w:t>
            </w:r>
          </w:p>
        </w:tc>
      </w:tr>
    </w:tbl>
    <w:p>
      <w:pPr>
        <w:pStyle w:val="Normal"/>
      </w:pPr>
      <w:r>
        <w:t xml:space="preserve">Alignment hints (</w:t>
      </w:r>
      <w:r>
        <w:rPr>
          <w:rStyle w:val="InlineCode"/>
        </w:rPr>
        <w:t xml:space="preserve">:--</w:t>
      </w:r>
      <w:r>
        <w:t xml:space="preserve">, </w:t>
      </w:r>
      <w:r>
        <w:rPr>
          <w:rStyle w:val="InlineCode"/>
        </w:rPr>
        <w:t xml:space="preserve">:-:</w:t>
      </w:r>
      <w:r>
        <w:t xml:space="preserve">, </w:t>
      </w:r>
      <w:r>
        <w:rPr>
          <w:rStyle w:val="InlineCode"/>
        </w:rPr>
        <w:t xml:space="preserve">--:</w:t>
      </w:r>
      <w:r>
        <w:t xml:space="preserve">) parse but render as left for now.</w:t>
      </w:r>
    </w:p>
    <w:p>
      <w:pPr>
        <w:pStyle w:val="Heading2"/>
      </w:pPr>
      <w:r>
        <w:t xml:space="preserve">Side-by-side columns</w:t>
      </w:r>
    </w:p>
    <w:p>
      <w:pPr>
        <w:pStyle w:val="Normal"/>
      </w:pPr>
      <w:r>
        <w:t xml:space="preserve">Put </w:t>
      </w:r>
      <w:r>
        <w:rPr>
          <w:rStyle w:val="InlineCode"/>
        </w:rPr>
        <w:t xml:space="preserve">:::</w:t>
      </w:r>
      <w:r>
        <w:t xml:space="preserve"> on a line by itself to split a slide into two columns:</w:t>
      </w:r>
    </w:p>
    <w:p>
      <w:pPr>
        <w:pStyle w:val="Normal"/>
      </w:pPr>
      <w:r>
        <w:rPr>
          <w:rStyle w:val="MetaLabel"/>
        </w:rPr>
        <w:t xml:space="preserve">markdown</w:t>
      </w:r>
    </w:p>
    <w:p>
      <w:pPr>
        <w:pStyle w:val="CodeBlock"/>
      </w:pPr>
      <w:r>
        <w:t xml:space="preserve">## Pros and cons</w:t>
      </w:r>
    </w:p>
    <w:p>
      <w:pPr>
        <w:pStyle w:val="CodeBlock"/>
      </w:pPr>
      <w:r>
        <w:t xml:space="preserve"/>
      </w:r>
    </w:p>
    <w:p>
      <w:pPr>
        <w:pStyle w:val="CodeBlock"/>
      </w:pPr>
      <w:r>
        <w:t xml:space="preserve">Left side content goes here. Bullets, paragraphs, code, all work.</w:t>
      </w:r>
    </w:p>
    <w:p>
      <w:pPr>
        <w:pStyle w:val="CodeBlock"/>
      </w:pPr>
      <w:r>
        <w:t xml:space="preserve"/>
      </w:r>
    </w:p>
    <w:p>
      <w:pPr>
        <w:pStyle w:val="CodeBlock"/>
      </w:pPr>
      <w:r>
        <w:t xml:space="preserve">:::</w:t>
      </w:r>
    </w:p>
    <w:p>
      <w:pPr>
        <w:pStyle w:val="CodeBlock"/>
      </w:pPr>
      <w:r>
        <w:t xml:space="preserve"/>
      </w:r>
    </w:p>
    <w:p>
      <w:pPr>
        <w:pStyle w:val="CodeBlock"/>
      </w:pPr>
      <w:r>
        <w:t xml:space="preserve">Right side content. Independently paginated.</w:t>
      </w:r>
    </w:p>
    <w:p>
      <w:pPr>
        <w:pStyle w:val="Normal"/>
      </w:pPr>
      <w:r>
        <w:t xml:space="preserve">In slide output both columns scale to fit. In document output (DOCX/ODT) columns flatten into back-to-back blocks.</w:t>
      </w:r>
    </w:p>
    <w:p>
      <w:pPr>
        <w:pStyle w:val="Heading2"/>
      </w:pPr>
      <w:r>
        <w:t xml:space="preserve">Blockquotes</w:t>
      </w:r>
    </w:p>
    <w:p>
      <w:pPr>
        <w:pStyle w:val="Normal"/>
      </w:pPr>
      <w:r>
        <w:t xml:space="preserve">Render with a vertical accent bar and italic body text.</w:t>
      </w:r>
    </w:p>
    <w:p>
      <w:pPr>
        <w:pStyle w:val="Quote"/>
      </w:pPr>
      <w:r>
        <w:t xml:space="preserve">The best presentation tool is the one that gets out of your way.</w:t>
      </w:r>
    </w:p>
    <w:p>
      <w:pPr>
        <w:pStyle w:val="Quote"/>
      </w:pPr>
      <w:r>
        <w:t xml:space="preserve">Plain text in, polished slides out. That's the whole product.</w:t>
      </w:r>
    </w:p>
    <w:p>
      <w:pPr>
        <w:pStyle w:val="Heading2"/>
      </w:pPr>
      <w:r>
        <w:t xml:space="preserve">Math</w:t>
      </w:r>
    </w:p>
    <w:p>
      <w:pPr>
        <w:pStyle w:val="Normal"/>
      </w:pPr>
      <w:r>
        <w:t xml:space="preserve">Inline </w:t>
      </w:r>
      <w:r>
        <w:rPr>
          <w:rStyle w:val="InlineCode"/>
        </w:rPr>
        <w:t xml:space="preserve">$...$</w:t>
      </w:r>
      <w:r>
        <w:t xml:space="preserve"> and display </w:t>
      </w:r>
      <w:r>
        <w:rPr>
          <w:rStyle w:val="InlineCode"/>
        </w:rPr>
        <w:t xml:space="preserve">$$...$$</w:t>
      </w:r>
      <w:r>
        <w:t xml:space="preserve"> math translate a useful subset of LaTeX to Unicode at parse time. No TeX engine, no </w:t>
      </w:r>
      <w:r>
        <w:rPr>
          <w:rStyle w:val="InlineCode"/>
        </w:rPr>
        <w:t xml:space="preserve">mathjax</w:t>
      </w:r>
      <w:r>
        <w:t xml:space="preserve">, no extra binary — pure Rust pattern matching that turns common notation into the corresponding Unicode characters.</w:t>
      </w:r>
    </w:p>
    <w:p>
      <w:pPr>
        <w:pStyle w:val="Normal"/>
      </w:pPr>
      <w:r>
        <w:rPr>
          <w:rStyle w:val="MetaLabel"/>
        </w:rPr>
        <w:t xml:space="preserve">markdown</w:t>
      </w:r>
    </w:p>
    <w:p>
      <w:pPr>
        <w:pStyle w:val="CodeBlock"/>
      </w:pPr>
      <w:r>
        <w:t xml:space="preserve">Einstein wrote $E = mc^2$.</w:t>
      </w:r>
    </w:p>
    <w:p>
      <w:pPr>
        <w:pStyle w:val="CodeBlock"/>
      </w:pPr>
      <w:r>
        <w:t xml:space="preserve"/>
      </w:r>
    </w:p>
    <w:p>
      <w:pPr>
        <w:pStyle w:val="CodeBlock"/>
      </w:pPr>
      <w:r>
        <w:t xml:space="preserve">$$\sum_{i=1}^{n} i = \frac{n(n+1)}{2}$$</w:t>
      </w:r>
    </w:p>
    <w:p>
      <w:pPr>
        <w:pStyle w:val="Normal"/>
      </w:pPr>
      <w:r>
        <w:t xml:space="preserve">The next twelve slides walk through every construct md2any understands, with source on the left and what it renders to on the right.</w:t>
      </w:r>
    </w:p>
    <w:p>
      <w:pPr>
        <w:pStyle w:val="Heading2"/>
      </w:pPr>
      <w:r>
        <w:t xml:space="preserve">Math — Greek letters</w:t>
      </w:r>
    </w:p>
    <w:tbl>
      <w:tblPr>
        <w:tblW w:w="0" w:type="auto"/>
        <w:tblBorders>
          <w:top w:val="single" w:sz="4" w:color="CCCCCC"/>
          <w:left w:val="single" w:sz="4" w:color="CCCCCC"/>
          <w:bottom w:val="single" w:sz="4" w:color="CCCCCC"/>
          <w:right w:val="single" w:sz="4" w:color="CCCCCC"/>
          <w:insideH w:val="single" w:sz="4" w:color="EEEEEE"/>
          <w:insideV w:val="single" w:sz="4" w:color="EEEEEE"/>
        </w:tblBorders>
      </w:tblPr>
      <w:tblGrid>
        <w:gridCol w:w="2250"/>
        <w:gridCol w:w="2250"/>
        <w:gridCol w:w="2250"/>
        <w:gridCol w:w="2250"/>
      </w:tblGrid>
      <w:tr>
        <w:trPr>
          <w:tblHeader/>
        </w:trPr>
        <w:tc>
          <w:tcPr>
            <w:tcW w:w="2250" w:type="dxa"/>
            <w:shd w:val="clear" w:color="auto" w:fill="F1F5F9"/>
          </w:tcPr>
          <w:p>
            <w:pPr>
              <w:pStyle w:val="Normal"/>
            </w:pPr>
            <w:r>
              <w:rPr>
                <w:b/>
              </w:rPr>
              <w:t xml:space="preserve">Source</w:t>
            </w:r>
          </w:p>
        </w:tc>
        <w:tc>
          <w:tcPr>
            <w:tcW w:w="2250" w:type="dxa"/>
            <w:shd w:val="clear" w:color="auto" w:fill="F1F5F9"/>
          </w:tcPr>
          <w:p>
            <w:pPr>
              <w:pStyle w:val="Normal"/>
            </w:pPr>
            <w:r>
              <w:rPr>
                <w:b/>
              </w:rPr>
              <w:t xml:space="preserve">Renders as</w:t>
            </w:r>
          </w:p>
        </w:tc>
        <w:tc>
          <w:tcPr>
            <w:tcW w:w="2250" w:type="dxa"/>
            <w:shd w:val="clear" w:color="auto" w:fill="F1F5F9"/>
          </w:tcPr>
          <w:p>
            <w:pPr>
              <w:pStyle w:val="Normal"/>
            </w:pPr>
            <w:r>
              <w:rPr>
                <w:b/>
              </w:rPr>
              <w:t xml:space="preserve">Source</w:t>
            </w:r>
          </w:p>
        </w:tc>
        <w:tc>
          <w:tcPr>
            <w:tcW w:w="2250" w:type="dxa"/>
            <w:shd w:val="clear" w:color="auto" w:fill="F1F5F9"/>
          </w:tcPr>
          <w:p>
            <w:pPr>
              <w:pStyle w:val="Normal"/>
            </w:pPr>
            <w:r>
              <w:rPr>
                <w:b/>
              </w:rPr>
              <w:t xml:space="preserve">Renders as</w:t>
            </w:r>
          </w:p>
        </w:tc>
      </w:tr>
      <w:tr>
        <w:tc>
          <w:tcPr>
            <w:tcW w:w="2250" w:type="dxa"/>
          </w:tcPr>
          <w:p>
            <w:pPr>
              <w:pStyle w:val="Normal"/>
            </w:pPr>
            <w:r>
              <w:rPr>
                <w:rStyle w:val="InlineCode"/>
              </w:rPr>
              <w:t xml:space="preserve">$\alpha$</w:t>
            </w:r>
          </w:p>
        </w:tc>
        <w:tc>
          <w:tcPr>
            <w:tcW w:w="2250" w:type="dxa"/>
          </w:tcPr>
          <w:p>
            <w:pPr>
              <w:pStyle w:val="Normal"/>
            </w:pPr>
            <w:r>
              <w:rPr>
                <w:i/>
              </w:rPr>
              <w:t xml:space="preserve">α</w:t>
            </w:r>
          </w:p>
        </w:tc>
        <w:tc>
          <w:tcPr>
            <w:tcW w:w="2250" w:type="dxa"/>
          </w:tcPr>
          <w:p>
            <w:pPr>
              <w:pStyle w:val="Normal"/>
            </w:pPr>
            <w:r>
              <w:rPr>
                <w:rStyle w:val="InlineCode"/>
              </w:rPr>
              <w:t xml:space="preserve">$\nu$</w:t>
            </w:r>
          </w:p>
        </w:tc>
        <w:tc>
          <w:tcPr>
            <w:tcW w:w="2250" w:type="dxa"/>
          </w:tcPr>
          <w:p>
            <w:pPr>
              <w:pStyle w:val="Normal"/>
            </w:pPr>
            <w:r>
              <w:rPr>
                <w:i/>
              </w:rPr>
              <w:t xml:space="preserve">ν</w:t>
            </w:r>
          </w:p>
        </w:tc>
      </w:tr>
      <w:tr>
        <w:tc>
          <w:tcPr>
            <w:tcW w:w="2250" w:type="dxa"/>
          </w:tcPr>
          <w:p>
            <w:pPr>
              <w:pStyle w:val="Normal"/>
            </w:pPr>
            <w:r>
              <w:rPr>
                <w:rStyle w:val="InlineCode"/>
              </w:rPr>
              <w:t xml:space="preserve">$\beta$</w:t>
            </w:r>
          </w:p>
        </w:tc>
        <w:tc>
          <w:tcPr>
            <w:tcW w:w="2250" w:type="dxa"/>
          </w:tcPr>
          <w:p>
            <w:pPr>
              <w:pStyle w:val="Normal"/>
            </w:pPr>
            <w:r>
              <w:rPr>
                <w:i/>
              </w:rPr>
              <w:t xml:space="preserve">β</w:t>
            </w:r>
          </w:p>
        </w:tc>
        <w:tc>
          <w:tcPr>
            <w:tcW w:w="2250" w:type="dxa"/>
          </w:tcPr>
          <w:p>
            <w:pPr>
              <w:pStyle w:val="Normal"/>
            </w:pPr>
            <w:r>
              <w:rPr>
                <w:rStyle w:val="InlineCode"/>
              </w:rPr>
              <w:t xml:space="preserve">$\xi$</w:t>
            </w:r>
          </w:p>
        </w:tc>
        <w:tc>
          <w:tcPr>
            <w:tcW w:w="2250" w:type="dxa"/>
          </w:tcPr>
          <w:p>
            <w:pPr>
              <w:pStyle w:val="Normal"/>
            </w:pPr>
            <w:r>
              <w:rPr>
                <w:i/>
              </w:rPr>
              <w:t xml:space="preserve">ξ</w:t>
            </w:r>
          </w:p>
        </w:tc>
      </w:tr>
      <w:tr>
        <w:tc>
          <w:tcPr>
            <w:tcW w:w="2250" w:type="dxa"/>
          </w:tcPr>
          <w:p>
            <w:pPr>
              <w:pStyle w:val="Normal"/>
            </w:pPr>
            <w:r>
              <w:rPr>
                <w:rStyle w:val="InlineCode"/>
              </w:rPr>
              <w:t xml:space="preserve">$\gamma$</w:t>
            </w:r>
          </w:p>
        </w:tc>
        <w:tc>
          <w:tcPr>
            <w:tcW w:w="2250" w:type="dxa"/>
          </w:tcPr>
          <w:p>
            <w:pPr>
              <w:pStyle w:val="Normal"/>
            </w:pPr>
            <w:r>
              <w:rPr>
                <w:i/>
              </w:rPr>
              <w:t xml:space="preserve">γ</w:t>
            </w:r>
          </w:p>
        </w:tc>
        <w:tc>
          <w:tcPr>
            <w:tcW w:w="2250" w:type="dxa"/>
          </w:tcPr>
          <w:p>
            <w:pPr>
              <w:pStyle w:val="Normal"/>
            </w:pPr>
            <w:r>
              <w:rPr>
                <w:rStyle w:val="InlineCode"/>
              </w:rPr>
              <w:t xml:space="preserve">$\pi$</w:t>
            </w:r>
          </w:p>
        </w:tc>
        <w:tc>
          <w:tcPr>
            <w:tcW w:w="2250" w:type="dxa"/>
          </w:tcPr>
          <w:p>
            <w:pPr>
              <w:pStyle w:val="Normal"/>
            </w:pPr>
            <w:r>
              <w:rPr>
                <w:i/>
              </w:rPr>
              <w:t xml:space="preserve">π</w:t>
            </w:r>
          </w:p>
        </w:tc>
      </w:tr>
      <w:tr>
        <w:tc>
          <w:tcPr>
            <w:tcW w:w="2250" w:type="dxa"/>
          </w:tcPr>
          <w:p>
            <w:pPr>
              <w:pStyle w:val="Normal"/>
            </w:pPr>
            <w:r>
              <w:rPr>
                <w:rStyle w:val="InlineCode"/>
              </w:rPr>
              <w:t xml:space="preserve">$\delta$</w:t>
            </w:r>
          </w:p>
        </w:tc>
        <w:tc>
          <w:tcPr>
            <w:tcW w:w="2250" w:type="dxa"/>
          </w:tcPr>
          <w:p>
            <w:pPr>
              <w:pStyle w:val="Normal"/>
            </w:pPr>
            <w:r>
              <w:rPr>
                <w:i/>
              </w:rPr>
              <w:t xml:space="preserve">δ</w:t>
            </w:r>
          </w:p>
        </w:tc>
        <w:tc>
          <w:tcPr>
            <w:tcW w:w="2250" w:type="dxa"/>
          </w:tcPr>
          <w:p>
            <w:pPr>
              <w:pStyle w:val="Normal"/>
            </w:pPr>
            <w:r>
              <w:rPr>
                <w:rStyle w:val="InlineCode"/>
              </w:rPr>
              <w:t xml:space="preserve">$\rho$</w:t>
            </w:r>
          </w:p>
        </w:tc>
        <w:tc>
          <w:tcPr>
            <w:tcW w:w="2250" w:type="dxa"/>
          </w:tcPr>
          <w:p>
            <w:pPr>
              <w:pStyle w:val="Normal"/>
            </w:pPr>
            <w:r>
              <w:rPr>
                <w:i/>
              </w:rPr>
              <w:t xml:space="preserve">ρ</w:t>
            </w:r>
          </w:p>
        </w:tc>
      </w:tr>
      <w:tr>
        <w:tc>
          <w:tcPr>
            <w:tcW w:w="2250" w:type="dxa"/>
          </w:tcPr>
          <w:p>
            <w:pPr>
              <w:pStyle w:val="Normal"/>
            </w:pPr>
            <w:r>
              <w:rPr>
                <w:rStyle w:val="InlineCode"/>
              </w:rPr>
              <w:t xml:space="preserve">$\epsilon$</w:t>
            </w:r>
          </w:p>
        </w:tc>
        <w:tc>
          <w:tcPr>
            <w:tcW w:w="2250" w:type="dxa"/>
          </w:tcPr>
          <w:p>
            <w:pPr>
              <w:pStyle w:val="Normal"/>
            </w:pPr>
            <w:r>
              <w:rPr>
                <w:i/>
              </w:rPr>
              <w:t xml:space="preserve">ε</w:t>
            </w:r>
          </w:p>
        </w:tc>
        <w:tc>
          <w:tcPr>
            <w:tcW w:w="2250" w:type="dxa"/>
          </w:tcPr>
          <w:p>
            <w:pPr>
              <w:pStyle w:val="Normal"/>
            </w:pPr>
            <w:r>
              <w:rPr>
                <w:rStyle w:val="InlineCode"/>
              </w:rPr>
              <w:t xml:space="preserve">$\sigma$</w:t>
            </w:r>
          </w:p>
        </w:tc>
        <w:tc>
          <w:tcPr>
            <w:tcW w:w="2250" w:type="dxa"/>
          </w:tcPr>
          <w:p>
            <w:pPr>
              <w:pStyle w:val="Normal"/>
            </w:pPr>
            <w:r>
              <w:rPr>
                <w:i/>
              </w:rPr>
              <w:t xml:space="preserve">σ</w:t>
            </w:r>
          </w:p>
        </w:tc>
      </w:tr>
      <w:tr>
        <w:tc>
          <w:tcPr>
            <w:tcW w:w="2250" w:type="dxa"/>
          </w:tcPr>
          <w:p>
            <w:pPr>
              <w:pStyle w:val="Normal"/>
            </w:pPr>
            <w:r>
              <w:rPr>
                <w:rStyle w:val="InlineCode"/>
              </w:rPr>
              <w:t xml:space="preserve">$\zeta$</w:t>
            </w:r>
          </w:p>
        </w:tc>
        <w:tc>
          <w:tcPr>
            <w:tcW w:w="2250" w:type="dxa"/>
          </w:tcPr>
          <w:p>
            <w:pPr>
              <w:pStyle w:val="Normal"/>
            </w:pPr>
            <w:r>
              <w:rPr>
                <w:i/>
              </w:rPr>
              <w:t xml:space="preserve">ζ</w:t>
            </w:r>
          </w:p>
        </w:tc>
        <w:tc>
          <w:tcPr>
            <w:tcW w:w="2250" w:type="dxa"/>
          </w:tcPr>
          <w:p>
            <w:pPr>
              <w:pStyle w:val="Normal"/>
            </w:pPr>
            <w:r>
              <w:rPr>
                <w:rStyle w:val="InlineCode"/>
              </w:rPr>
              <w:t xml:space="preserve">$\tau$</w:t>
            </w:r>
          </w:p>
        </w:tc>
        <w:tc>
          <w:tcPr>
            <w:tcW w:w="2250" w:type="dxa"/>
          </w:tcPr>
          <w:p>
            <w:pPr>
              <w:pStyle w:val="Normal"/>
            </w:pPr>
            <w:r>
              <w:rPr>
                <w:i/>
              </w:rPr>
              <w:t xml:space="preserve">τ</w:t>
            </w:r>
          </w:p>
        </w:tc>
      </w:tr>
      <w:tr>
        <w:tc>
          <w:tcPr>
            <w:tcW w:w="2250" w:type="dxa"/>
          </w:tcPr>
          <w:p>
            <w:pPr>
              <w:pStyle w:val="Normal"/>
            </w:pPr>
            <w:r>
              <w:rPr>
                <w:rStyle w:val="InlineCode"/>
              </w:rPr>
              <w:t xml:space="preserve">$\eta$</w:t>
            </w:r>
          </w:p>
        </w:tc>
        <w:tc>
          <w:tcPr>
            <w:tcW w:w="2250" w:type="dxa"/>
          </w:tcPr>
          <w:p>
            <w:pPr>
              <w:pStyle w:val="Normal"/>
            </w:pPr>
            <w:r>
              <w:rPr>
                <w:i/>
              </w:rPr>
              <w:t xml:space="preserve">η</w:t>
            </w:r>
          </w:p>
        </w:tc>
        <w:tc>
          <w:tcPr>
            <w:tcW w:w="2250" w:type="dxa"/>
          </w:tcPr>
          <w:p>
            <w:pPr>
              <w:pStyle w:val="Normal"/>
            </w:pPr>
            <w:r>
              <w:rPr>
                <w:rStyle w:val="InlineCode"/>
              </w:rPr>
              <w:t xml:space="preserve">$\upsilon$</w:t>
            </w:r>
          </w:p>
        </w:tc>
        <w:tc>
          <w:tcPr>
            <w:tcW w:w="2250" w:type="dxa"/>
          </w:tcPr>
          <w:p>
            <w:pPr>
              <w:pStyle w:val="Normal"/>
            </w:pPr>
            <w:r>
              <w:rPr>
                <w:i/>
              </w:rPr>
              <w:t xml:space="preserve">υ</w:t>
            </w:r>
          </w:p>
        </w:tc>
      </w:tr>
      <w:tr>
        <w:tc>
          <w:tcPr>
            <w:tcW w:w="2250" w:type="dxa"/>
          </w:tcPr>
          <w:p>
            <w:pPr>
              <w:pStyle w:val="Normal"/>
            </w:pPr>
            <w:r>
              <w:rPr>
                <w:rStyle w:val="InlineCode"/>
              </w:rPr>
              <w:t xml:space="preserve">$\theta$</w:t>
            </w:r>
          </w:p>
        </w:tc>
        <w:tc>
          <w:tcPr>
            <w:tcW w:w="2250" w:type="dxa"/>
          </w:tcPr>
          <w:p>
            <w:pPr>
              <w:pStyle w:val="Normal"/>
            </w:pPr>
            <w:r>
              <w:rPr>
                <w:i/>
              </w:rPr>
              <w:t xml:space="preserve">θ</w:t>
            </w:r>
          </w:p>
        </w:tc>
        <w:tc>
          <w:tcPr>
            <w:tcW w:w="2250" w:type="dxa"/>
          </w:tcPr>
          <w:p>
            <w:pPr>
              <w:pStyle w:val="Normal"/>
            </w:pPr>
            <w:r>
              <w:rPr>
                <w:rStyle w:val="InlineCode"/>
              </w:rPr>
              <w:t xml:space="preserve">$\phi$</w:t>
            </w:r>
          </w:p>
        </w:tc>
        <w:tc>
          <w:tcPr>
            <w:tcW w:w="2250" w:type="dxa"/>
          </w:tcPr>
          <w:p>
            <w:pPr>
              <w:pStyle w:val="Normal"/>
            </w:pPr>
            <w:r>
              <w:rPr>
                <w:i/>
              </w:rPr>
              <w:t xml:space="preserve">φ</w:t>
            </w:r>
          </w:p>
        </w:tc>
      </w:tr>
      <w:tr>
        <w:tc>
          <w:tcPr>
            <w:tcW w:w="2250" w:type="dxa"/>
          </w:tcPr>
          <w:p>
            <w:pPr>
              <w:pStyle w:val="Normal"/>
            </w:pPr>
            <w:r>
              <w:rPr>
                <w:rStyle w:val="InlineCode"/>
              </w:rPr>
              <w:t xml:space="preserve">$\iota$</w:t>
            </w:r>
          </w:p>
        </w:tc>
        <w:tc>
          <w:tcPr>
            <w:tcW w:w="2250" w:type="dxa"/>
          </w:tcPr>
          <w:p>
            <w:pPr>
              <w:pStyle w:val="Normal"/>
            </w:pPr>
            <w:r>
              <w:rPr>
                <w:i/>
              </w:rPr>
              <w:t xml:space="preserve">ι</w:t>
            </w:r>
          </w:p>
        </w:tc>
        <w:tc>
          <w:tcPr>
            <w:tcW w:w="2250" w:type="dxa"/>
          </w:tcPr>
          <w:p>
            <w:pPr>
              <w:pStyle w:val="Normal"/>
            </w:pPr>
            <w:r>
              <w:rPr>
                <w:rStyle w:val="InlineCode"/>
              </w:rPr>
              <w:t xml:space="preserve">$\chi$</w:t>
            </w:r>
          </w:p>
        </w:tc>
        <w:tc>
          <w:tcPr>
            <w:tcW w:w="2250" w:type="dxa"/>
          </w:tcPr>
          <w:p>
            <w:pPr>
              <w:pStyle w:val="Normal"/>
            </w:pPr>
            <w:r>
              <w:rPr>
                <w:i/>
              </w:rPr>
              <w:t xml:space="preserve">χ</w:t>
            </w:r>
          </w:p>
        </w:tc>
      </w:tr>
    </w:tbl>
    <w:p>
      <w:pPr>
        <w:pStyle w:val="Heading2"/>
      </w:pPr>
      <w:r>
        <w:t xml:space="preserve">Math — Greek letters</w:t>
      </w:r>
    </w:p>
    <w:tbl>
      <w:tblPr>
        <w:tblW w:w="0" w:type="auto"/>
        <w:tblBorders>
          <w:top w:val="single" w:sz="4" w:color="CCCCCC"/>
          <w:left w:val="single" w:sz="4" w:color="CCCCCC"/>
          <w:bottom w:val="single" w:sz="4" w:color="CCCCCC"/>
          <w:right w:val="single" w:sz="4" w:color="CCCCCC"/>
          <w:insideH w:val="single" w:sz="4" w:color="EEEEEE"/>
          <w:insideV w:val="single" w:sz="4" w:color="EEEEEE"/>
        </w:tblBorders>
      </w:tblPr>
      <w:tblGrid>
        <w:gridCol w:w="2250"/>
        <w:gridCol w:w="2250"/>
        <w:gridCol w:w="2250"/>
        <w:gridCol w:w="2250"/>
      </w:tblGrid>
      <w:tr>
        <w:trPr>
          <w:tblHeader/>
        </w:trPr>
        <w:tc>
          <w:tcPr>
            <w:tcW w:w="2250" w:type="dxa"/>
            <w:shd w:val="clear" w:color="auto" w:fill="F1F5F9"/>
          </w:tcPr>
          <w:p>
            <w:pPr>
              <w:pStyle w:val="Normal"/>
            </w:pPr>
            <w:r>
              <w:rPr>
                <w:b/>
              </w:rPr>
              <w:t xml:space="preserve">Source</w:t>
            </w:r>
          </w:p>
        </w:tc>
        <w:tc>
          <w:tcPr>
            <w:tcW w:w="2250" w:type="dxa"/>
            <w:shd w:val="clear" w:color="auto" w:fill="F1F5F9"/>
          </w:tcPr>
          <w:p>
            <w:pPr>
              <w:pStyle w:val="Normal"/>
            </w:pPr>
            <w:r>
              <w:rPr>
                <w:b/>
              </w:rPr>
              <w:t xml:space="preserve">Renders as</w:t>
            </w:r>
          </w:p>
        </w:tc>
        <w:tc>
          <w:tcPr>
            <w:tcW w:w="2250" w:type="dxa"/>
            <w:shd w:val="clear" w:color="auto" w:fill="F1F5F9"/>
          </w:tcPr>
          <w:p>
            <w:pPr>
              <w:pStyle w:val="Normal"/>
            </w:pPr>
            <w:r>
              <w:rPr>
                <w:b/>
              </w:rPr>
              <w:t xml:space="preserve">Source</w:t>
            </w:r>
          </w:p>
        </w:tc>
        <w:tc>
          <w:tcPr>
            <w:tcW w:w="2250" w:type="dxa"/>
            <w:shd w:val="clear" w:color="auto" w:fill="F1F5F9"/>
          </w:tcPr>
          <w:p>
            <w:pPr>
              <w:pStyle w:val="Normal"/>
            </w:pPr>
            <w:r>
              <w:rPr>
                <w:b/>
              </w:rPr>
              <w:t xml:space="preserve">Renders as</w:t>
            </w:r>
          </w:p>
        </w:tc>
      </w:tr>
      <w:tr>
        <w:tc>
          <w:tcPr>
            <w:tcW w:w="2250" w:type="dxa"/>
          </w:tcPr>
          <w:p>
            <w:pPr>
              <w:pStyle w:val="Normal"/>
            </w:pPr>
            <w:r>
              <w:rPr>
                <w:rStyle w:val="InlineCode"/>
              </w:rPr>
              <w:t xml:space="preserve">$\kappa$</w:t>
            </w:r>
          </w:p>
        </w:tc>
        <w:tc>
          <w:tcPr>
            <w:tcW w:w="2250" w:type="dxa"/>
          </w:tcPr>
          <w:p>
            <w:pPr>
              <w:pStyle w:val="Normal"/>
            </w:pPr>
            <w:r>
              <w:rPr>
                <w:i/>
              </w:rPr>
              <w:t xml:space="preserve">κ</w:t>
            </w:r>
          </w:p>
        </w:tc>
        <w:tc>
          <w:tcPr>
            <w:tcW w:w="2250" w:type="dxa"/>
          </w:tcPr>
          <w:p>
            <w:pPr>
              <w:pStyle w:val="Normal"/>
            </w:pPr>
            <w:r>
              <w:rPr>
                <w:rStyle w:val="InlineCode"/>
              </w:rPr>
              <w:t xml:space="preserve">$\psi$</w:t>
            </w:r>
          </w:p>
        </w:tc>
        <w:tc>
          <w:tcPr>
            <w:tcW w:w="2250" w:type="dxa"/>
          </w:tcPr>
          <w:p>
            <w:pPr>
              <w:pStyle w:val="Normal"/>
            </w:pPr>
            <w:r>
              <w:rPr>
                <w:i/>
              </w:rPr>
              <w:t xml:space="preserve">ψ</w:t>
            </w:r>
          </w:p>
        </w:tc>
      </w:tr>
      <w:tr>
        <w:tc>
          <w:tcPr>
            <w:tcW w:w="2250" w:type="dxa"/>
          </w:tcPr>
          <w:p>
            <w:pPr>
              <w:pStyle w:val="Normal"/>
            </w:pPr>
            <w:r>
              <w:rPr>
                <w:rStyle w:val="InlineCode"/>
              </w:rPr>
              <w:t xml:space="preserve">$\lambda$</w:t>
            </w:r>
          </w:p>
        </w:tc>
        <w:tc>
          <w:tcPr>
            <w:tcW w:w="2250" w:type="dxa"/>
          </w:tcPr>
          <w:p>
            <w:pPr>
              <w:pStyle w:val="Normal"/>
            </w:pPr>
            <w:r>
              <w:rPr>
                <w:i/>
              </w:rPr>
              <w:t xml:space="preserve">λ</w:t>
            </w:r>
          </w:p>
        </w:tc>
        <w:tc>
          <w:tcPr>
            <w:tcW w:w="2250" w:type="dxa"/>
          </w:tcPr>
          <w:p>
            <w:pPr>
              <w:pStyle w:val="Normal"/>
            </w:pPr>
            <w:r>
              <w:rPr>
                <w:rStyle w:val="InlineCode"/>
              </w:rPr>
              <w:t xml:space="preserve">$\omega$</w:t>
            </w:r>
          </w:p>
        </w:tc>
        <w:tc>
          <w:tcPr>
            <w:tcW w:w="2250" w:type="dxa"/>
          </w:tcPr>
          <w:p>
            <w:pPr>
              <w:pStyle w:val="Normal"/>
            </w:pPr>
            <w:r>
              <w:rPr>
                <w:i/>
              </w:rPr>
              <w:t xml:space="preserve">ω</w:t>
            </w:r>
          </w:p>
        </w:tc>
      </w:tr>
      <w:tr>
        <w:tc>
          <w:tcPr>
            <w:tcW w:w="2250" w:type="dxa"/>
          </w:tcPr>
          <w:p>
            <w:pPr>
              <w:pStyle w:val="Normal"/>
            </w:pPr>
            <w:r>
              <w:rPr>
                <w:rStyle w:val="InlineCode"/>
              </w:rPr>
              <w:t xml:space="preserve">$\mu$</w:t>
            </w:r>
          </w:p>
        </w:tc>
        <w:tc>
          <w:tcPr>
            <w:tcW w:w="2250" w:type="dxa"/>
          </w:tcPr>
          <w:p>
            <w:pPr>
              <w:pStyle w:val="Normal"/>
            </w:pPr>
            <w:r>
              <w:rPr>
                <w:i/>
              </w:rPr>
              <w:t xml:space="preserve">μ</w:t>
            </w:r>
          </w:p>
        </w:tc>
        <w:tc>
          <w:tcPr>
            <w:tcW w:w="2250" w:type="dxa"/>
          </w:tcPr>
          <w:p>
            <w:pPr>
              <w:pStyle w:val="Normal"/>
            </w:pPr>
            <w:r>
              <w:rPr>
                <w:rStyle w:val="InlineCode"/>
              </w:rPr>
              <w:t xml:space="preserve">$\aleph$</w:t>
            </w:r>
          </w:p>
        </w:tc>
        <w:tc>
          <w:tcPr>
            <w:tcW w:w="2250" w:type="dxa"/>
          </w:tcPr>
          <w:p>
            <w:pPr>
              <w:pStyle w:val="Normal"/>
            </w:pPr>
            <w:r>
              <w:rPr>
                <w:i/>
              </w:rPr>
              <w:t xml:space="preserve">ℵ</w:t>
            </w:r>
          </w:p>
        </w:tc>
      </w:tr>
    </w:tbl>
    <w:p>
      <w:pPr>
        <w:pStyle w:val="Normal"/>
      </w:pPr>
      <w:r>
        <w:t xml:space="preserve">Uppercase forms work the same way: </w:t>
      </w:r>
      <w:r>
        <w:rPr>
          <w:rStyle w:val="InlineCode"/>
        </w:rPr>
        <w:t xml:space="preserve">$\Gamma$</w:t>
      </w:r>
      <w:r>
        <w:t xml:space="preserve"> → </w:t>
      </w:r>
      <w:r>
        <w:rPr>
          <w:i/>
        </w:rPr>
        <w:t xml:space="preserve">Γ</w:t>
      </w:r>
      <w:r>
        <w:t xml:space="preserve">, </w:t>
      </w:r>
      <w:r>
        <w:rPr>
          <w:rStyle w:val="InlineCode"/>
        </w:rPr>
        <w:t xml:space="preserve">$\Delta$</w:t>
      </w:r>
      <w:r>
        <w:t xml:space="preserve"> → </w:t>
      </w:r>
      <w:r>
        <w:rPr>
          <w:i/>
        </w:rPr>
        <w:t xml:space="preserve">Δ</w:t>
      </w:r>
      <w:r>
        <w:t xml:space="preserve">, </w:t>
      </w:r>
      <w:r>
        <w:rPr>
          <w:rStyle w:val="InlineCode"/>
        </w:rPr>
        <w:t xml:space="preserve">$\Theta$</w:t>
      </w:r>
      <w:r>
        <w:t xml:space="preserve"> → </w:t>
      </w:r>
      <w:r>
        <w:rPr>
          <w:i/>
        </w:rPr>
        <w:t xml:space="preserve">Θ</w:t>
      </w:r>
      <w:r>
        <w:t xml:space="preserve">, </w:t>
      </w:r>
      <w:r>
        <w:rPr>
          <w:rStyle w:val="InlineCode"/>
        </w:rPr>
        <w:t xml:space="preserve">$\Lambda$</w:t>
      </w:r>
      <w:r>
        <w:t xml:space="preserve"> → </w:t>
      </w:r>
      <w:r>
        <w:rPr>
          <w:i/>
        </w:rPr>
        <w:t xml:space="preserve">Λ</w:t>
      </w:r>
      <w:r>
        <w:t xml:space="preserve">, </w:t>
      </w:r>
      <w:r>
        <w:rPr>
          <w:rStyle w:val="InlineCode"/>
        </w:rPr>
        <w:t xml:space="preserve">$\Xi$</w:t>
      </w:r>
      <w:r>
        <w:t xml:space="preserve"> → </w:t>
      </w:r>
      <w:r>
        <w:rPr>
          <w:i/>
        </w:rPr>
        <w:t xml:space="preserve">Ξ</w:t>
      </w:r>
      <w:r>
        <w:t xml:space="preserve">, </w:t>
      </w:r>
      <w:r>
        <w:rPr>
          <w:rStyle w:val="InlineCode"/>
        </w:rPr>
        <w:t xml:space="preserve">$\Pi$</w:t>
      </w:r>
      <w:r>
        <w:t xml:space="preserve"> → </w:t>
      </w:r>
      <w:r>
        <w:rPr>
          <w:i/>
        </w:rPr>
        <w:t xml:space="preserve">Π</w:t>
      </w:r>
      <w:r>
        <w:t xml:space="preserve">, </w:t>
      </w:r>
      <w:r>
        <w:rPr>
          <w:rStyle w:val="InlineCode"/>
        </w:rPr>
        <w:t xml:space="preserve">$\Sigma$</w:t>
      </w:r>
      <w:r>
        <w:t xml:space="preserve"> → </w:t>
      </w:r>
      <w:r>
        <w:rPr>
          <w:i/>
        </w:rPr>
        <w:t xml:space="preserve">Σ</w:t>
      </w:r>
      <w:r>
        <w:t xml:space="preserve">, </w:t>
      </w:r>
      <w:r>
        <w:rPr>
          <w:rStyle w:val="InlineCode"/>
        </w:rPr>
        <w:t xml:space="preserve">$\Phi$</w:t>
      </w:r>
      <w:r>
        <w:t xml:space="preserve"> → </w:t>
      </w:r>
      <w:r>
        <w:rPr>
          <w:i/>
        </w:rPr>
        <w:t xml:space="preserve">Φ</w:t>
      </w:r>
      <w:r>
        <w:t xml:space="preserve">, </w:t>
      </w:r>
      <w:r>
        <w:rPr>
          <w:rStyle w:val="InlineCode"/>
        </w:rPr>
        <w:t xml:space="preserve">$\Psi$</w:t>
      </w:r>
      <w:r>
        <w:t xml:space="preserve"> → </w:t>
      </w:r>
      <w:r>
        <w:rPr>
          <w:i/>
        </w:rPr>
        <w:t xml:space="preserve">Ψ</w:t>
      </w:r>
      <w:r>
        <w:t xml:space="preserve">, </w:t>
      </w:r>
      <w:r>
        <w:rPr>
          <w:rStyle w:val="InlineCode"/>
        </w:rPr>
        <w:t xml:space="preserve">$\Omega$</w:t>
      </w:r>
      <w:r>
        <w:t xml:space="preserve"> → </w:t>
      </w:r>
      <w:r>
        <w:rPr>
          <w:i/>
        </w:rPr>
        <w:t xml:space="preserve">Ω</w:t>
      </w:r>
      <w:r>
        <w:t xml:space="preserve">.</w:t>
      </w:r>
    </w:p>
    <w:p>
      <w:pPr>
        <w:pStyle w:val="Heading2"/>
      </w:pPr>
      <w:r>
        <w:t xml:space="preserve">Math — big operators</w:t>
      </w:r>
    </w:p>
    <w:tbl>
      <w:tblPr>
        <w:tblW w:w="0" w:type="auto"/>
        <w:tblBorders>
          <w:top w:val="single" w:sz="4" w:color="CCCCCC"/>
          <w:left w:val="single" w:sz="4" w:color="CCCCCC"/>
          <w:bottom w:val="single" w:sz="4" w:color="CCCCCC"/>
          <w:right w:val="single" w:sz="4" w:color="CCCCCC"/>
          <w:insideH w:val="single" w:sz="4" w:color="EEEEEE"/>
          <w:insideV w:val="single" w:sz="4" w:color="EEEEEE"/>
        </w:tblBorders>
      </w:tblPr>
      <w:tblGrid>
        <w:gridCol w:w="4500"/>
        <w:gridCol w:w="4500"/>
      </w:tblGrid>
      <w:tr>
        <w:trPr>
          <w:tblHeader/>
        </w:trPr>
        <w:tc>
          <w:tcPr>
            <w:tcW w:w="4500" w:type="dxa"/>
            <w:shd w:val="clear" w:color="auto" w:fill="F1F5F9"/>
          </w:tcPr>
          <w:p>
            <w:pPr>
              <w:pStyle w:val="Normal"/>
            </w:pPr>
            <w:r>
              <w:rPr>
                <w:b/>
              </w:rPr>
              <w:t xml:space="preserve">Source</w:t>
            </w:r>
          </w:p>
        </w:tc>
        <w:tc>
          <w:tcPr>
            <w:tcW w:w="4500" w:type="dxa"/>
            <w:shd w:val="clear" w:color="auto" w:fill="F1F5F9"/>
          </w:tcPr>
          <w:p>
            <w:pPr>
              <w:pStyle w:val="Normal"/>
            </w:pPr>
            <w:r>
              <w:rPr>
                <w:b/>
              </w:rPr>
              <w:t xml:space="preserve">Renders as</w:t>
            </w:r>
          </w:p>
        </w:tc>
      </w:tr>
      <w:tr>
        <w:tc>
          <w:tcPr>
            <w:tcW w:w="4500" w:type="dxa"/>
          </w:tcPr>
          <w:p>
            <w:pPr>
              <w:pStyle w:val="Normal"/>
            </w:pPr>
            <w:r>
              <w:rPr>
                <w:rStyle w:val="InlineCode"/>
              </w:rPr>
              <w:t xml:space="preserve">$\sum$</w:t>
            </w:r>
          </w:p>
        </w:tc>
        <w:tc>
          <w:tcPr>
            <w:tcW w:w="4500" w:type="dxa"/>
          </w:tcPr>
          <w:p>
            <w:pPr>
              <w:pStyle w:val="Normal"/>
            </w:pPr>
            <w:r>
              <w:rPr>
                <w:i/>
              </w:rPr>
              <w:t xml:space="preserve">∑</w:t>
            </w:r>
          </w:p>
        </w:tc>
      </w:tr>
      <w:tr>
        <w:tc>
          <w:tcPr>
            <w:tcW w:w="4500" w:type="dxa"/>
          </w:tcPr>
          <w:p>
            <w:pPr>
              <w:pStyle w:val="Normal"/>
            </w:pPr>
            <w:r>
              <w:rPr>
                <w:rStyle w:val="InlineCode"/>
              </w:rPr>
              <w:t xml:space="preserve">$\prod$</w:t>
            </w:r>
          </w:p>
        </w:tc>
        <w:tc>
          <w:tcPr>
            <w:tcW w:w="4500" w:type="dxa"/>
          </w:tcPr>
          <w:p>
            <w:pPr>
              <w:pStyle w:val="Normal"/>
            </w:pPr>
            <w:r>
              <w:rPr>
                <w:i/>
              </w:rPr>
              <w:t xml:space="preserve">∏</w:t>
            </w:r>
          </w:p>
        </w:tc>
      </w:tr>
      <w:tr>
        <w:tc>
          <w:tcPr>
            <w:tcW w:w="4500" w:type="dxa"/>
          </w:tcPr>
          <w:p>
            <w:pPr>
              <w:pStyle w:val="Normal"/>
            </w:pPr>
            <w:r>
              <w:rPr>
                <w:rStyle w:val="InlineCode"/>
              </w:rPr>
              <w:t xml:space="preserve">$\int$</w:t>
            </w:r>
          </w:p>
        </w:tc>
        <w:tc>
          <w:tcPr>
            <w:tcW w:w="4500" w:type="dxa"/>
          </w:tcPr>
          <w:p>
            <w:pPr>
              <w:pStyle w:val="Normal"/>
            </w:pPr>
            <w:r>
              <w:rPr>
                <w:i/>
              </w:rPr>
              <w:t xml:space="preserve">∫</w:t>
            </w:r>
          </w:p>
        </w:tc>
      </w:tr>
      <w:tr>
        <w:tc>
          <w:tcPr>
            <w:tcW w:w="4500" w:type="dxa"/>
          </w:tcPr>
          <w:p>
            <w:pPr>
              <w:pStyle w:val="Normal"/>
            </w:pPr>
            <w:r>
              <w:rPr>
                <w:rStyle w:val="InlineCode"/>
              </w:rPr>
              <w:t xml:space="preserve">$\oint$</w:t>
            </w:r>
          </w:p>
        </w:tc>
        <w:tc>
          <w:tcPr>
            <w:tcW w:w="4500" w:type="dxa"/>
          </w:tcPr>
          <w:p>
            <w:pPr>
              <w:pStyle w:val="Normal"/>
            </w:pPr>
            <w:r>
              <w:rPr>
                <w:i/>
              </w:rPr>
              <w:t xml:space="preserve">∮</w:t>
            </w:r>
          </w:p>
        </w:tc>
      </w:tr>
      <w:tr>
        <w:tc>
          <w:tcPr>
            <w:tcW w:w="4500" w:type="dxa"/>
          </w:tcPr>
          <w:p>
            <w:pPr>
              <w:pStyle w:val="Normal"/>
            </w:pPr>
            <w:r>
              <w:rPr>
                <w:rStyle w:val="InlineCode"/>
              </w:rPr>
              <w:t xml:space="preserve">$\bigcup$</w:t>
            </w:r>
          </w:p>
        </w:tc>
        <w:tc>
          <w:tcPr>
            <w:tcW w:w="4500" w:type="dxa"/>
          </w:tcPr>
          <w:p>
            <w:pPr>
              <w:pStyle w:val="Normal"/>
            </w:pPr>
            <w:r>
              <w:rPr>
                <w:i/>
              </w:rPr>
              <w:t xml:space="preserve">⋃</w:t>
            </w:r>
          </w:p>
        </w:tc>
      </w:tr>
      <w:tr>
        <w:tc>
          <w:tcPr>
            <w:tcW w:w="4500" w:type="dxa"/>
          </w:tcPr>
          <w:p>
            <w:pPr>
              <w:pStyle w:val="Normal"/>
            </w:pPr>
            <w:r>
              <w:rPr>
                <w:rStyle w:val="InlineCode"/>
              </w:rPr>
              <w:t xml:space="preserve">$\bigcap$</w:t>
            </w:r>
          </w:p>
        </w:tc>
        <w:tc>
          <w:tcPr>
            <w:tcW w:w="4500" w:type="dxa"/>
          </w:tcPr>
          <w:p>
            <w:pPr>
              <w:pStyle w:val="Normal"/>
            </w:pPr>
            <w:r>
              <w:rPr>
                <w:i/>
              </w:rPr>
              <w:t xml:space="preserve">⋂</w:t>
            </w:r>
          </w:p>
        </w:tc>
      </w:tr>
      <w:tr>
        <w:tc>
          <w:tcPr>
            <w:tcW w:w="4500" w:type="dxa"/>
          </w:tcPr>
          <w:p>
            <w:pPr>
              <w:pStyle w:val="Normal"/>
            </w:pPr>
            <w:r>
              <w:rPr>
                <w:rStyle w:val="InlineCode"/>
              </w:rPr>
              <w:t xml:space="preserve">$\sum_{i=1}^{n} i$</w:t>
            </w:r>
          </w:p>
        </w:tc>
        <w:tc>
          <w:tcPr>
            <w:tcW w:w="4500" w:type="dxa"/>
          </w:tcPr>
          <w:p>
            <w:pPr>
              <w:pStyle w:val="Normal"/>
            </w:pPr>
            <w:r>
              <w:rPr>
                <w:i/>
              </w:rPr>
              <w:t xml:space="preserve">∑ᵢ₌₁ⁿ i</w:t>
            </w:r>
          </w:p>
        </w:tc>
      </w:tr>
      <w:tr>
        <w:tc>
          <w:tcPr>
            <w:tcW w:w="4500" w:type="dxa"/>
          </w:tcPr>
          <w:p>
            <w:pPr>
              <w:pStyle w:val="Normal"/>
            </w:pPr>
            <w:r>
              <w:rPr>
                <w:rStyle w:val="InlineCode"/>
              </w:rPr>
              <w:t xml:space="preserve">$\int_a^b f(x) dx$</w:t>
            </w:r>
          </w:p>
        </w:tc>
        <w:tc>
          <w:tcPr>
            <w:tcW w:w="4500" w:type="dxa"/>
          </w:tcPr>
          <w:p>
            <w:pPr>
              <w:pStyle w:val="Normal"/>
            </w:pPr>
            <w:r>
              <w:rPr>
                <w:i/>
              </w:rPr>
              <w:t xml:space="preserve">∫ₐᵇ f(x) dx</w:t>
            </w:r>
          </w:p>
        </w:tc>
      </w:tr>
      <w:tr>
        <w:tc>
          <w:tcPr>
            <w:tcW w:w="4500" w:type="dxa"/>
          </w:tcPr>
          <w:p>
            <w:pPr>
              <w:pStyle w:val="Normal"/>
            </w:pPr>
            <w:r>
              <w:rPr>
                <w:rStyle w:val="InlineCode"/>
              </w:rPr>
              <w:t xml:space="preserve">$\prod_{k=1}^{n} k$</w:t>
            </w:r>
          </w:p>
        </w:tc>
        <w:tc>
          <w:tcPr>
            <w:tcW w:w="4500" w:type="dxa"/>
          </w:tcPr>
          <w:p>
            <w:pPr>
              <w:pStyle w:val="Normal"/>
            </w:pPr>
            <w:r>
              <w:rPr>
                <w:i/>
              </w:rPr>
              <w:t xml:space="preserve">∏ₖ₌₁ⁿ k</w:t>
            </w:r>
          </w:p>
        </w:tc>
      </w:tr>
    </w:tbl>
    <w:p>
      <w:pPr>
        <w:pStyle w:val="Heading2"/>
      </w:pPr>
      <w:r>
        <w:t xml:space="preserve">Math — big operators</w:t>
      </w:r>
    </w:p>
    <w:p>
      <w:pPr>
        <w:pStyle w:val="Normal"/>
      </w:pPr>
      <w:r>
        <w:t xml:space="preserve">Subscripts and superscripts after a big operator render as small adjacent glyphs (no stacked above/below — that needs a real TeX engine).</w:t>
      </w:r>
    </w:p>
    <w:p>
      <w:pPr>
        <w:pStyle w:val="Heading2"/>
      </w:pPr>
      <w:r>
        <w:t xml:space="preserve">Math — relations</w:t>
      </w:r>
    </w:p>
    <w:tbl>
      <w:tblPr>
        <w:tblW w:w="0" w:type="auto"/>
        <w:tblBorders>
          <w:top w:val="single" w:sz="4" w:color="CCCCCC"/>
          <w:left w:val="single" w:sz="4" w:color="CCCCCC"/>
          <w:bottom w:val="single" w:sz="4" w:color="CCCCCC"/>
          <w:right w:val="single" w:sz="4" w:color="CCCCCC"/>
          <w:insideH w:val="single" w:sz="4" w:color="EEEEEE"/>
          <w:insideV w:val="single" w:sz="4" w:color="EEEEEE"/>
        </w:tblBorders>
      </w:tblPr>
      <w:tblGrid>
        <w:gridCol w:w="2250"/>
        <w:gridCol w:w="2250"/>
        <w:gridCol w:w="2250"/>
        <w:gridCol w:w="2250"/>
      </w:tblGrid>
      <w:tr>
        <w:trPr>
          <w:tblHeader/>
        </w:trPr>
        <w:tc>
          <w:tcPr>
            <w:tcW w:w="2250" w:type="dxa"/>
            <w:shd w:val="clear" w:color="auto" w:fill="F1F5F9"/>
          </w:tcPr>
          <w:p>
            <w:pPr>
              <w:pStyle w:val="Normal"/>
            </w:pPr>
            <w:r>
              <w:rPr>
                <w:b/>
              </w:rPr>
              <w:t xml:space="preserve">Source</w:t>
            </w:r>
          </w:p>
        </w:tc>
        <w:tc>
          <w:tcPr>
            <w:tcW w:w="2250" w:type="dxa"/>
            <w:shd w:val="clear" w:color="auto" w:fill="F1F5F9"/>
          </w:tcPr>
          <w:p>
            <w:pPr>
              <w:pStyle w:val="Normal"/>
            </w:pPr>
            <w:r>
              <w:rPr>
                <w:b/>
              </w:rPr>
              <w:t xml:space="preserve">Renders as</w:t>
            </w:r>
          </w:p>
        </w:tc>
        <w:tc>
          <w:tcPr>
            <w:tcW w:w="2250" w:type="dxa"/>
            <w:shd w:val="clear" w:color="auto" w:fill="F1F5F9"/>
          </w:tcPr>
          <w:p>
            <w:pPr>
              <w:pStyle w:val="Normal"/>
            </w:pPr>
            <w:r>
              <w:rPr>
                <w:b/>
              </w:rPr>
              <w:t xml:space="preserve">Source</w:t>
            </w:r>
          </w:p>
        </w:tc>
        <w:tc>
          <w:tcPr>
            <w:tcW w:w="2250" w:type="dxa"/>
            <w:shd w:val="clear" w:color="auto" w:fill="F1F5F9"/>
          </w:tcPr>
          <w:p>
            <w:pPr>
              <w:pStyle w:val="Normal"/>
            </w:pPr>
            <w:r>
              <w:rPr>
                <w:b/>
              </w:rPr>
              <w:t xml:space="preserve">Renders as</w:t>
            </w:r>
          </w:p>
        </w:tc>
      </w:tr>
      <w:tr>
        <w:tc>
          <w:tcPr>
            <w:tcW w:w="2250" w:type="dxa"/>
          </w:tcPr>
          <w:p>
            <w:pPr>
              <w:pStyle w:val="Normal"/>
            </w:pPr>
            <w:r>
              <w:rPr>
                <w:rStyle w:val="InlineCode"/>
              </w:rPr>
              <w:t xml:space="preserve">$\leq$</w:t>
            </w:r>
          </w:p>
        </w:tc>
        <w:tc>
          <w:tcPr>
            <w:tcW w:w="2250" w:type="dxa"/>
          </w:tcPr>
          <w:p>
            <w:pPr>
              <w:pStyle w:val="Normal"/>
            </w:pPr>
            <w:r>
              <w:rPr>
                <w:i/>
              </w:rPr>
              <w:t xml:space="preserve">≤</w:t>
            </w:r>
          </w:p>
        </w:tc>
        <w:tc>
          <w:tcPr>
            <w:tcW w:w="2250" w:type="dxa"/>
          </w:tcPr>
          <w:p>
            <w:pPr>
              <w:pStyle w:val="Normal"/>
            </w:pPr>
            <w:r>
              <w:rPr>
                <w:rStyle w:val="InlineCode"/>
              </w:rPr>
              <w:t xml:space="preserve">$\equiv$</w:t>
            </w:r>
          </w:p>
        </w:tc>
        <w:tc>
          <w:tcPr>
            <w:tcW w:w="2250" w:type="dxa"/>
          </w:tcPr>
          <w:p>
            <w:pPr>
              <w:pStyle w:val="Normal"/>
            </w:pPr>
            <w:r>
              <w:rPr>
                <w:i/>
              </w:rPr>
              <w:t xml:space="preserve">≡</w:t>
            </w:r>
          </w:p>
        </w:tc>
      </w:tr>
      <w:tr>
        <w:tc>
          <w:tcPr>
            <w:tcW w:w="2250" w:type="dxa"/>
          </w:tcPr>
          <w:p>
            <w:pPr>
              <w:pStyle w:val="Normal"/>
            </w:pPr>
            <w:r>
              <w:rPr>
                <w:rStyle w:val="InlineCode"/>
              </w:rPr>
              <w:t xml:space="preserve">$\geq$</w:t>
            </w:r>
          </w:p>
        </w:tc>
        <w:tc>
          <w:tcPr>
            <w:tcW w:w="2250" w:type="dxa"/>
          </w:tcPr>
          <w:p>
            <w:pPr>
              <w:pStyle w:val="Normal"/>
            </w:pPr>
            <w:r>
              <w:rPr>
                <w:i/>
              </w:rPr>
              <w:t xml:space="preserve">≥</w:t>
            </w:r>
          </w:p>
        </w:tc>
        <w:tc>
          <w:tcPr>
            <w:tcW w:w="2250" w:type="dxa"/>
          </w:tcPr>
          <w:p>
            <w:pPr>
              <w:pStyle w:val="Normal"/>
            </w:pPr>
            <w:r>
              <w:rPr>
                <w:rStyle w:val="InlineCode"/>
              </w:rPr>
              <w:t xml:space="preserve">$\sim$</w:t>
            </w:r>
          </w:p>
        </w:tc>
        <w:tc>
          <w:tcPr>
            <w:tcW w:w="2250" w:type="dxa"/>
          </w:tcPr>
          <w:p>
            <w:pPr>
              <w:pStyle w:val="Normal"/>
            </w:pPr>
            <w:r>
              <w:rPr>
                <w:i/>
              </w:rPr>
              <w:t xml:space="preserve">∼</w:t>
            </w:r>
          </w:p>
        </w:tc>
      </w:tr>
      <w:tr>
        <w:tc>
          <w:tcPr>
            <w:tcW w:w="2250" w:type="dxa"/>
          </w:tcPr>
          <w:p>
            <w:pPr>
              <w:pStyle w:val="Normal"/>
            </w:pPr>
            <w:r>
              <w:rPr>
                <w:rStyle w:val="InlineCode"/>
              </w:rPr>
              <w:t xml:space="preserve">$\neq$</w:t>
            </w:r>
          </w:p>
        </w:tc>
        <w:tc>
          <w:tcPr>
            <w:tcW w:w="2250" w:type="dxa"/>
          </w:tcPr>
          <w:p>
            <w:pPr>
              <w:pStyle w:val="Normal"/>
            </w:pPr>
            <w:r>
              <w:rPr>
                <w:i/>
              </w:rPr>
              <w:t xml:space="preserve">≠</w:t>
            </w:r>
          </w:p>
        </w:tc>
        <w:tc>
          <w:tcPr>
            <w:tcW w:w="2250" w:type="dxa"/>
          </w:tcPr>
          <w:p>
            <w:pPr>
              <w:pStyle w:val="Normal"/>
            </w:pPr>
            <w:r>
              <w:rPr>
                <w:rStyle w:val="InlineCode"/>
              </w:rPr>
              <w:t xml:space="preserve">$\simeq$</w:t>
            </w:r>
          </w:p>
        </w:tc>
        <w:tc>
          <w:tcPr>
            <w:tcW w:w="2250" w:type="dxa"/>
          </w:tcPr>
          <w:p>
            <w:pPr>
              <w:pStyle w:val="Normal"/>
            </w:pPr>
            <w:r>
              <w:rPr>
                <w:i/>
              </w:rPr>
              <w:t xml:space="preserve">≃</w:t>
            </w:r>
          </w:p>
        </w:tc>
      </w:tr>
      <w:tr>
        <w:tc>
          <w:tcPr>
            <w:tcW w:w="2250" w:type="dxa"/>
          </w:tcPr>
          <w:p>
            <w:pPr>
              <w:pStyle w:val="Normal"/>
            </w:pPr>
            <w:r>
              <w:rPr>
                <w:rStyle w:val="InlineCode"/>
              </w:rPr>
              <w:t xml:space="preserve">$\approx$</w:t>
            </w:r>
          </w:p>
        </w:tc>
        <w:tc>
          <w:tcPr>
            <w:tcW w:w="2250" w:type="dxa"/>
          </w:tcPr>
          <w:p>
            <w:pPr>
              <w:pStyle w:val="Normal"/>
            </w:pPr>
            <w:r>
              <w:rPr>
                <w:i/>
              </w:rPr>
              <w:t xml:space="preserve">≈</w:t>
            </w:r>
          </w:p>
        </w:tc>
        <w:tc>
          <w:tcPr>
            <w:tcW w:w="2250" w:type="dxa"/>
          </w:tcPr>
          <w:p>
            <w:pPr>
              <w:pStyle w:val="Normal"/>
            </w:pPr>
            <w:r>
              <w:rPr>
                <w:rStyle w:val="InlineCode"/>
              </w:rPr>
              <w:t xml:space="preserve">$\propto$</w:t>
            </w:r>
          </w:p>
        </w:tc>
        <w:tc>
          <w:tcPr>
            <w:tcW w:w="2250" w:type="dxa"/>
          </w:tcPr>
          <w:p>
            <w:pPr>
              <w:pStyle w:val="Normal"/>
            </w:pPr>
            <w:r>
              <w:rPr>
                <w:i/>
              </w:rPr>
              <w:t xml:space="preserve">∝</w:t>
            </w:r>
          </w:p>
        </w:tc>
      </w:tr>
    </w:tbl>
    <w:p>
      <w:pPr>
        <w:pStyle w:val="Normal"/>
      </w:pPr>
      <w:r>
        <w:rPr>
          <w:rStyle w:val="MetaLabel"/>
        </w:rPr>
        <w:t xml:space="preserve">markdown</w:t>
      </w:r>
    </w:p>
    <w:p>
      <w:pPr>
        <w:pStyle w:val="CodeBlock"/>
      </w:pPr>
      <w:r>
        <w:t xml:space="preserve">$a \leq b \neq c \approx d \propto e$</w:t>
      </w:r>
    </w:p>
    <w:p>
      <w:pPr>
        <w:pStyle w:val="Normal"/>
      </w:pPr>
      <w:r>
        <w:t xml:space="preserve">Renders as: </w:t>
      </w:r>
      <w:r>
        <w:rPr>
          <w:i/>
        </w:rPr>
        <w:t xml:space="preserve">a ≤b ≠c ≈d ∝e</w:t>
      </w:r>
    </w:p>
    <w:p>
      <w:pPr>
        <w:pStyle w:val="Heading2"/>
      </w:pPr>
      <w:r>
        <w:t xml:space="preserve">Math — arrows</w:t>
      </w:r>
    </w:p>
    <w:tbl>
      <w:tblPr>
        <w:tblW w:w="0" w:type="auto"/>
        <w:tblBorders>
          <w:top w:val="single" w:sz="4" w:color="CCCCCC"/>
          <w:left w:val="single" w:sz="4" w:color="CCCCCC"/>
          <w:bottom w:val="single" w:sz="4" w:color="CCCCCC"/>
          <w:right w:val="single" w:sz="4" w:color="CCCCCC"/>
          <w:insideH w:val="single" w:sz="4" w:color="EEEEEE"/>
          <w:insideV w:val="single" w:sz="4" w:color="EEEEEE"/>
        </w:tblBorders>
      </w:tblPr>
      <w:tblGrid>
        <w:gridCol w:w="4500"/>
        <w:gridCol w:w="4500"/>
      </w:tblGrid>
      <w:tr>
        <w:trPr>
          <w:tblHeader/>
        </w:trPr>
        <w:tc>
          <w:tcPr>
            <w:tcW w:w="4500" w:type="dxa"/>
            <w:shd w:val="clear" w:color="auto" w:fill="F1F5F9"/>
          </w:tcPr>
          <w:p>
            <w:pPr>
              <w:pStyle w:val="Normal"/>
            </w:pPr>
            <w:r>
              <w:rPr>
                <w:b/>
              </w:rPr>
              <w:t xml:space="preserve">Source</w:t>
            </w:r>
          </w:p>
        </w:tc>
        <w:tc>
          <w:tcPr>
            <w:tcW w:w="4500" w:type="dxa"/>
            <w:shd w:val="clear" w:color="auto" w:fill="F1F5F9"/>
          </w:tcPr>
          <w:p>
            <w:pPr>
              <w:pStyle w:val="Normal"/>
            </w:pPr>
            <w:r>
              <w:rPr>
                <w:b/>
              </w:rPr>
              <w:t xml:space="preserve">Renders as</w:t>
            </w:r>
          </w:p>
        </w:tc>
      </w:tr>
      <w:tr>
        <w:tc>
          <w:tcPr>
            <w:tcW w:w="4500" w:type="dxa"/>
          </w:tcPr>
          <w:p>
            <w:pPr>
              <w:pStyle w:val="Normal"/>
            </w:pPr>
            <w:r>
              <w:rPr>
                <w:rStyle w:val="InlineCode"/>
              </w:rPr>
              <w:t xml:space="preserve">$\to$</w:t>
            </w:r>
          </w:p>
        </w:tc>
        <w:tc>
          <w:tcPr>
            <w:tcW w:w="4500" w:type="dxa"/>
          </w:tcPr>
          <w:p>
            <w:pPr>
              <w:pStyle w:val="Normal"/>
            </w:pPr>
            <w:r>
              <w:rPr>
                <w:i/>
              </w:rPr>
              <w:t xml:space="preserve">→</w:t>
            </w:r>
          </w:p>
        </w:tc>
      </w:tr>
      <w:tr>
        <w:tc>
          <w:tcPr>
            <w:tcW w:w="4500" w:type="dxa"/>
          </w:tcPr>
          <w:p>
            <w:pPr>
              <w:pStyle w:val="Normal"/>
            </w:pPr>
            <w:r>
              <w:rPr>
                <w:rStyle w:val="InlineCode"/>
              </w:rPr>
              <w:t xml:space="preserve">$\rightarrow$</w:t>
            </w:r>
          </w:p>
        </w:tc>
        <w:tc>
          <w:tcPr>
            <w:tcW w:w="4500" w:type="dxa"/>
          </w:tcPr>
          <w:p>
            <w:pPr>
              <w:pStyle w:val="Normal"/>
            </w:pPr>
            <w:r>
              <w:rPr>
                <w:i/>
              </w:rPr>
              <w:t xml:space="preserve">→</w:t>
            </w:r>
          </w:p>
        </w:tc>
      </w:tr>
      <w:tr>
        <w:tc>
          <w:tcPr>
            <w:tcW w:w="4500" w:type="dxa"/>
          </w:tcPr>
          <w:p>
            <w:pPr>
              <w:pStyle w:val="Normal"/>
            </w:pPr>
            <w:r>
              <w:rPr>
                <w:rStyle w:val="InlineCode"/>
              </w:rPr>
              <w:t xml:space="preserve">$\leftarrow$</w:t>
            </w:r>
          </w:p>
        </w:tc>
        <w:tc>
          <w:tcPr>
            <w:tcW w:w="4500" w:type="dxa"/>
          </w:tcPr>
          <w:p>
            <w:pPr>
              <w:pStyle w:val="Normal"/>
            </w:pPr>
            <w:r>
              <w:rPr>
                <w:i/>
              </w:rPr>
              <w:t xml:space="preserve">←</w:t>
            </w:r>
          </w:p>
        </w:tc>
      </w:tr>
      <w:tr>
        <w:tc>
          <w:tcPr>
            <w:tcW w:w="4500" w:type="dxa"/>
          </w:tcPr>
          <w:p>
            <w:pPr>
              <w:pStyle w:val="Normal"/>
            </w:pPr>
            <w:r>
              <w:rPr>
                <w:rStyle w:val="InlineCode"/>
              </w:rPr>
              <w:t xml:space="preserve">$\Rightarrow$</w:t>
            </w:r>
          </w:p>
        </w:tc>
        <w:tc>
          <w:tcPr>
            <w:tcW w:w="4500" w:type="dxa"/>
          </w:tcPr>
          <w:p>
            <w:pPr>
              <w:pStyle w:val="Normal"/>
            </w:pPr>
            <w:r>
              <w:rPr>
                <w:i/>
              </w:rPr>
              <w:t xml:space="preserve">⇒</w:t>
            </w:r>
          </w:p>
        </w:tc>
      </w:tr>
      <w:tr>
        <w:tc>
          <w:tcPr>
            <w:tcW w:w="4500" w:type="dxa"/>
          </w:tcPr>
          <w:p>
            <w:pPr>
              <w:pStyle w:val="Normal"/>
            </w:pPr>
            <w:r>
              <w:rPr>
                <w:rStyle w:val="InlineCode"/>
              </w:rPr>
              <w:t xml:space="preserve">$\Leftarrow$</w:t>
            </w:r>
          </w:p>
        </w:tc>
        <w:tc>
          <w:tcPr>
            <w:tcW w:w="4500" w:type="dxa"/>
          </w:tcPr>
          <w:p>
            <w:pPr>
              <w:pStyle w:val="Normal"/>
            </w:pPr>
            <w:r>
              <w:rPr>
                <w:i/>
              </w:rPr>
              <w:t xml:space="preserve">⇐</w:t>
            </w:r>
          </w:p>
        </w:tc>
      </w:tr>
      <w:tr>
        <w:tc>
          <w:tcPr>
            <w:tcW w:w="4500" w:type="dxa"/>
          </w:tcPr>
          <w:p>
            <w:pPr>
              <w:pStyle w:val="Normal"/>
            </w:pPr>
            <w:r>
              <w:rPr>
                <w:rStyle w:val="InlineCode"/>
              </w:rPr>
              <w:t xml:space="preserve">$\leftrightarrow$</w:t>
            </w:r>
          </w:p>
        </w:tc>
        <w:tc>
          <w:tcPr>
            <w:tcW w:w="4500" w:type="dxa"/>
          </w:tcPr>
          <w:p>
            <w:pPr>
              <w:pStyle w:val="Normal"/>
            </w:pPr>
            <w:r>
              <w:rPr>
                <w:i/>
              </w:rPr>
              <w:t xml:space="preserve">↔</w:t>
            </w:r>
          </w:p>
        </w:tc>
      </w:tr>
      <w:tr>
        <w:tc>
          <w:tcPr>
            <w:tcW w:w="4500" w:type="dxa"/>
          </w:tcPr>
          <w:p>
            <w:pPr>
              <w:pStyle w:val="Normal"/>
            </w:pPr>
            <w:r>
              <w:rPr>
                <w:rStyle w:val="InlineCode"/>
              </w:rPr>
              <w:t xml:space="preserve">$\Leftrightarrow$</w:t>
            </w:r>
          </w:p>
        </w:tc>
        <w:tc>
          <w:tcPr>
            <w:tcW w:w="4500" w:type="dxa"/>
          </w:tcPr>
          <w:p>
            <w:pPr>
              <w:pStyle w:val="Normal"/>
            </w:pPr>
            <w:r>
              <w:rPr>
                <w:i/>
              </w:rPr>
              <w:t xml:space="preserve">⇔</w:t>
            </w:r>
          </w:p>
        </w:tc>
      </w:tr>
      <w:tr>
        <w:tc>
          <w:tcPr>
            <w:tcW w:w="4500" w:type="dxa"/>
          </w:tcPr>
          <w:p>
            <w:pPr>
              <w:pStyle w:val="Normal"/>
            </w:pPr>
            <w:r>
              <w:rPr>
                <w:rStyle w:val="InlineCode"/>
              </w:rPr>
              <w:t xml:space="preserve">$\mapsto$</w:t>
            </w:r>
          </w:p>
        </w:tc>
        <w:tc>
          <w:tcPr>
            <w:tcW w:w="4500" w:type="dxa"/>
          </w:tcPr>
          <w:p>
            <w:pPr>
              <w:pStyle w:val="Normal"/>
            </w:pPr>
            <w:r>
              <w:rPr>
                <w:i/>
              </w:rPr>
              <w:t xml:space="preserve">↦</w:t>
            </w:r>
          </w:p>
        </w:tc>
      </w:tr>
    </w:tbl>
    <w:p>
      <w:pPr>
        <w:pStyle w:val="Normal"/>
      </w:pPr>
      <w:r>
        <w:t xml:space="preserve">Use the capitalised forms (</w:t>
      </w:r>
      <w:r>
        <w:rPr>
          <w:rStyle w:val="InlineCode"/>
        </w:rPr>
        <w:t xml:space="preserve">\Rightarrow</w:t>
      </w:r>
      <w:r>
        <w:t xml:space="preserve">, </w:t>
      </w:r>
      <w:r>
        <w:rPr>
          <w:rStyle w:val="InlineCode"/>
        </w:rPr>
        <w:t xml:space="preserve">\Leftrightarrow</w:t>
      </w:r>
      <w:r>
        <w:t xml:space="preserve">) for logical implication; the lowercase forms are for set membership / function notation.</w:t>
      </w:r>
    </w:p>
    <w:p>
      <w:pPr>
        <w:pStyle w:val="Heading2"/>
      </w:pPr>
      <w:r>
        <w:t xml:space="preserve">Math — set and logic</w:t>
      </w:r>
    </w:p>
    <w:tbl>
      <w:tblPr>
        <w:tblW w:w="0" w:type="auto"/>
        <w:tblBorders>
          <w:top w:val="single" w:sz="4" w:color="CCCCCC"/>
          <w:left w:val="single" w:sz="4" w:color="CCCCCC"/>
          <w:bottom w:val="single" w:sz="4" w:color="CCCCCC"/>
          <w:right w:val="single" w:sz="4" w:color="CCCCCC"/>
          <w:insideH w:val="single" w:sz="4" w:color="EEEEEE"/>
          <w:insideV w:val="single" w:sz="4" w:color="EEEEEE"/>
        </w:tblBorders>
      </w:tblPr>
      <w:tblGrid>
        <w:gridCol w:w="2250"/>
        <w:gridCol w:w="2250"/>
        <w:gridCol w:w="2250"/>
        <w:gridCol w:w="2250"/>
      </w:tblGrid>
      <w:tr>
        <w:trPr>
          <w:tblHeader/>
        </w:trPr>
        <w:tc>
          <w:tcPr>
            <w:tcW w:w="2250" w:type="dxa"/>
            <w:shd w:val="clear" w:color="auto" w:fill="F1F5F9"/>
          </w:tcPr>
          <w:p>
            <w:pPr>
              <w:pStyle w:val="Normal"/>
            </w:pPr>
            <w:r>
              <w:rPr>
                <w:b/>
              </w:rPr>
              <w:t xml:space="preserve">Source</w:t>
            </w:r>
          </w:p>
        </w:tc>
        <w:tc>
          <w:tcPr>
            <w:tcW w:w="2250" w:type="dxa"/>
            <w:shd w:val="clear" w:color="auto" w:fill="F1F5F9"/>
          </w:tcPr>
          <w:p>
            <w:pPr>
              <w:pStyle w:val="Normal"/>
            </w:pPr>
            <w:r>
              <w:rPr>
                <w:b/>
              </w:rPr>
              <w:t xml:space="preserve">Renders as</w:t>
            </w:r>
          </w:p>
        </w:tc>
        <w:tc>
          <w:tcPr>
            <w:tcW w:w="2250" w:type="dxa"/>
            <w:shd w:val="clear" w:color="auto" w:fill="F1F5F9"/>
          </w:tcPr>
          <w:p>
            <w:pPr>
              <w:pStyle w:val="Normal"/>
            </w:pPr>
            <w:r>
              <w:rPr>
                <w:b/>
              </w:rPr>
              <w:t xml:space="preserve">Source</w:t>
            </w:r>
          </w:p>
        </w:tc>
        <w:tc>
          <w:tcPr>
            <w:tcW w:w="2250" w:type="dxa"/>
            <w:shd w:val="clear" w:color="auto" w:fill="F1F5F9"/>
          </w:tcPr>
          <w:p>
            <w:pPr>
              <w:pStyle w:val="Normal"/>
            </w:pPr>
            <w:r>
              <w:rPr>
                <w:b/>
              </w:rPr>
              <w:t xml:space="preserve">Renders as</w:t>
            </w:r>
          </w:p>
        </w:tc>
      </w:tr>
      <w:tr>
        <w:tc>
          <w:tcPr>
            <w:tcW w:w="2250" w:type="dxa"/>
          </w:tcPr>
          <w:p>
            <w:pPr>
              <w:pStyle w:val="Normal"/>
            </w:pPr>
            <w:r>
              <w:rPr>
                <w:rStyle w:val="InlineCode"/>
              </w:rPr>
              <w:t xml:space="preserve">$\in$</w:t>
            </w:r>
          </w:p>
        </w:tc>
        <w:tc>
          <w:tcPr>
            <w:tcW w:w="2250" w:type="dxa"/>
          </w:tcPr>
          <w:p>
            <w:pPr>
              <w:pStyle w:val="Normal"/>
            </w:pPr>
            <w:r>
              <w:rPr>
                <w:i/>
              </w:rPr>
              <w:t xml:space="preserve">∈</w:t>
            </w:r>
          </w:p>
        </w:tc>
        <w:tc>
          <w:tcPr>
            <w:tcW w:w="2250" w:type="dxa"/>
          </w:tcPr>
          <w:p>
            <w:pPr>
              <w:pStyle w:val="Normal"/>
            </w:pPr>
            <w:r>
              <w:rPr>
                <w:rStyle w:val="InlineCode"/>
              </w:rPr>
              <w:t xml:space="preserve">$\forall$</w:t>
            </w:r>
          </w:p>
        </w:tc>
        <w:tc>
          <w:tcPr>
            <w:tcW w:w="2250" w:type="dxa"/>
          </w:tcPr>
          <w:p>
            <w:pPr>
              <w:pStyle w:val="Normal"/>
            </w:pPr>
            <w:r>
              <w:rPr>
                <w:i/>
              </w:rPr>
              <w:t xml:space="preserve">∀</w:t>
            </w:r>
          </w:p>
        </w:tc>
      </w:tr>
      <w:tr>
        <w:tc>
          <w:tcPr>
            <w:tcW w:w="2250" w:type="dxa"/>
          </w:tcPr>
          <w:p>
            <w:pPr>
              <w:pStyle w:val="Normal"/>
            </w:pPr>
            <w:r>
              <w:rPr>
                <w:rStyle w:val="InlineCode"/>
              </w:rPr>
              <w:t xml:space="preserve">$\notin$</w:t>
            </w:r>
          </w:p>
        </w:tc>
        <w:tc>
          <w:tcPr>
            <w:tcW w:w="2250" w:type="dxa"/>
          </w:tcPr>
          <w:p>
            <w:pPr>
              <w:pStyle w:val="Normal"/>
            </w:pPr>
            <w:r>
              <w:rPr>
                <w:i/>
              </w:rPr>
              <w:t xml:space="preserve">∉</w:t>
            </w:r>
          </w:p>
        </w:tc>
        <w:tc>
          <w:tcPr>
            <w:tcW w:w="2250" w:type="dxa"/>
          </w:tcPr>
          <w:p>
            <w:pPr>
              <w:pStyle w:val="Normal"/>
            </w:pPr>
            <w:r>
              <w:rPr>
                <w:rStyle w:val="InlineCode"/>
              </w:rPr>
              <w:t xml:space="preserve">$\exists$</w:t>
            </w:r>
          </w:p>
        </w:tc>
        <w:tc>
          <w:tcPr>
            <w:tcW w:w="2250" w:type="dxa"/>
          </w:tcPr>
          <w:p>
            <w:pPr>
              <w:pStyle w:val="Normal"/>
            </w:pPr>
            <w:r>
              <w:rPr>
                <w:i/>
              </w:rPr>
              <w:t xml:space="preserve">∃</w:t>
            </w:r>
          </w:p>
        </w:tc>
      </w:tr>
      <w:tr>
        <w:tc>
          <w:tcPr>
            <w:tcW w:w="2250" w:type="dxa"/>
          </w:tcPr>
          <w:p>
            <w:pPr>
              <w:pStyle w:val="Normal"/>
            </w:pPr>
            <w:r>
              <w:rPr>
                <w:rStyle w:val="InlineCode"/>
              </w:rPr>
              <w:t xml:space="preserve">$\subset$</w:t>
            </w:r>
          </w:p>
        </w:tc>
        <w:tc>
          <w:tcPr>
            <w:tcW w:w="2250" w:type="dxa"/>
          </w:tcPr>
          <w:p>
            <w:pPr>
              <w:pStyle w:val="Normal"/>
            </w:pPr>
            <w:r>
              <w:rPr>
                <w:i/>
              </w:rPr>
              <w:t xml:space="preserve">⊂</w:t>
            </w:r>
          </w:p>
        </w:tc>
        <w:tc>
          <w:tcPr>
            <w:tcW w:w="2250" w:type="dxa"/>
          </w:tcPr>
          <w:p>
            <w:pPr>
              <w:pStyle w:val="Normal"/>
            </w:pPr>
            <w:r>
              <w:rPr>
                <w:rStyle w:val="InlineCode"/>
              </w:rPr>
              <w:t xml:space="preserve">$\nexists$</w:t>
            </w:r>
          </w:p>
        </w:tc>
        <w:tc>
          <w:tcPr>
            <w:tcW w:w="2250" w:type="dxa"/>
          </w:tcPr>
          <w:p>
            <w:pPr>
              <w:pStyle w:val="Normal"/>
            </w:pPr>
            <w:r>
              <w:rPr>
                <w:i/>
              </w:rPr>
              <w:t xml:space="preserve">∄</w:t>
            </w:r>
          </w:p>
        </w:tc>
      </w:tr>
      <w:tr>
        <w:tc>
          <w:tcPr>
            <w:tcW w:w="2250" w:type="dxa"/>
          </w:tcPr>
          <w:p>
            <w:pPr>
              <w:pStyle w:val="Normal"/>
            </w:pPr>
            <w:r>
              <w:rPr>
                <w:rStyle w:val="InlineCode"/>
              </w:rPr>
              <w:t xml:space="preserve">$\subseteq$</w:t>
            </w:r>
          </w:p>
        </w:tc>
        <w:tc>
          <w:tcPr>
            <w:tcW w:w="2250" w:type="dxa"/>
          </w:tcPr>
          <w:p>
            <w:pPr>
              <w:pStyle w:val="Normal"/>
            </w:pPr>
            <w:r>
              <w:rPr>
                <w:i/>
              </w:rPr>
              <w:t xml:space="preserve">⊆</w:t>
            </w:r>
          </w:p>
        </w:tc>
        <w:tc>
          <w:tcPr>
            <w:tcW w:w="2250" w:type="dxa"/>
          </w:tcPr>
          <w:p>
            <w:pPr>
              <w:pStyle w:val="Normal"/>
            </w:pPr>
            <w:r>
              <w:rPr>
                <w:rStyle w:val="InlineCode"/>
              </w:rPr>
              <w:t xml:space="preserve">$\emptyset$</w:t>
            </w:r>
          </w:p>
        </w:tc>
        <w:tc>
          <w:tcPr>
            <w:tcW w:w="2250" w:type="dxa"/>
          </w:tcPr>
          <w:p>
            <w:pPr>
              <w:pStyle w:val="Normal"/>
            </w:pPr>
            <w:r>
              <w:rPr>
                <w:i/>
              </w:rPr>
              <w:t xml:space="preserve">∅</w:t>
            </w:r>
          </w:p>
        </w:tc>
      </w:tr>
      <w:tr>
        <w:tc>
          <w:tcPr>
            <w:tcW w:w="2250" w:type="dxa"/>
          </w:tcPr>
          <w:p>
            <w:pPr>
              <w:pStyle w:val="Normal"/>
            </w:pPr>
            <w:r>
              <w:rPr>
                <w:rStyle w:val="InlineCode"/>
              </w:rPr>
              <w:t xml:space="preserve">$\supset$</w:t>
            </w:r>
          </w:p>
        </w:tc>
        <w:tc>
          <w:tcPr>
            <w:tcW w:w="2250" w:type="dxa"/>
          </w:tcPr>
          <w:p>
            <w:pPr>
              <w:pStyle w:val="Normal"/>
            </w:pPr>
            <w:r>
              <w:rPr>
                <w:i/>
              </w:rPr>
              <w:t xml:space="preserve">⊃</w:t>
            </w:r>
          </w:p>
        </w:tc>
        <w:tc>
          <w:tcPr>
            <w:tcW w:w="2250" w:type="dxa"/>
          </w:tcPr>
          <w:p>
            <w:pPr>
              <w:pStyle w:val="Normal"/>
            </w:pPr>
            <w:r>
              <w:rPr>
                <w:rStyle w:val="InlineCode"/>
              </w:rPr>
              <w:t xml:space="preserve">$\land$</w:t>
            </w:r>
          </w:p>
        </w:tc>
        <w:tc>
          <w:tcPr>
            <w:tcW w:w="2250" w:type="dxa"/>
          </w:tcPr>
          <w:p>
            <w:pPr>
              <w:pStyle w:val="Normal"/>
            </w:pPr>
            <w:r>
              <w:rPr>
                <w:i/>
              </w:rPr>
              <w:t xml:space="preserve">∧</w:t>
            </w:r>
          </w:p>
        </w:tc>
      </w:tr>
      <w:tr>
        <w:tc>
          <w:tcPr>
            <w:tcW w:w="2250" w:type="dxa"/>
          </w:tcPr>
          <w:p>
            <w:pPr>
              <w:pStyle w:val="Normal"/>
            </w:pPr>
            <w:r>
              <w:rPr>
                <w:rStyle w:val="InlineCode"/>
              </w:rPr>
              <w:t xml:space="preserve">$\supseteq$</w:t>
            </w:r>
          </w:p>
        </w:tc>
        <w:tc>
          <w:tcPr>
            <w:tcW w:w="2250" w:type="dxa"/>
          </w:tcPr>
          <w:p>
            <w:pPr>
              <w:pStyle w:val="Normal"/>
            </w:pPr>
            <w:r>
              <w:rPr>
                <w:i/>
              </w:rPr>
              <w:t xml:space="preserve">⊇</w:t>
            </w:r>
          </w:p>
        </w:tc>
        <w:tc>
          <w:tcPr>
            <w:tcW w:w="2250" w:type="dxa"/>
          </w:tcPr>
          <w:p>
            <w:pPr>
              <w:pStyle w:val="Normal"/>
            </w:pPr>
            <w:r>
              <w:rPr>
                <w:rStyle w:val="InlineCode"/>
              </w:rPr>
              <w:t xml:space="preserve">$\lor$</w:t>
            </w:r>
          </w:p>
        </w:tc>
        <w:tc>
          <w:tcPr>
            <w:tcW w:w="2250" w:type="dxa"/>
          </w:tcPr>
          <w:p>
            <w:pPr>
              <w:pStyle w:val="Normal"/>
            </w:pPr>
            <w:r>
              <w:rPr>
                <w:i/>
              </w:rPr>
              <w:t xml:space="preserve">∨</w:t>
            </w:r>
          </w:p>
        </w:tc>
      </w:tr>
      <w:tr>
        <w:tc>
          <w:tcPr>
            <w:tcW w:w="2250" w:type="dxa"/>
          </w:tcPr>
          <w:p>
            <w:pPr>
              <w:pStyle w:val="Normal"/>
            </w:pPr>
            <w:r>
              <w:rPr>
                <w:rStyle w:val="InlineCode"/>
              </w:rPr>
              <w:t xml:space="preserve">$\cup$</w:t>
            </w:r>
          </w:p>
        </w:tc>
        <w:tc>
          <w:tcPr>
            <w:tcW w:w="2250" w:type="dxa"/>
          </w:tcPr>
          <w:p>
            <w:pPr>
              <w:pStyle w:val="Normal"/>
            </w:pPr>
            <w:r>
              <w:rPr>
                <w:i/>
              </w:rPr>
              <w:t xml:space="preserve">∪</w:t>
            </w:r>
          </w:p>
        </w:tc>
        <w:tc>
          <w:tcPr>
            <w:tcW w:w="2250" w:type="dxa"/>
          </w:tcPr>
          <w:p>
            <w:pPr>
              <w:pStyle w:val="Normal"/>
            </w:pPr>
            <w:r>
              <w:rPr>
                <w:rStyle w:val="InlineCode"/>
              </w:rPr>
              <w:t xml:space="preserve">$\lnot$</w:t>
            </w:r>
          </w:p>
        </w:tc>
        <w:tc>
          <w:tcPr>
            <w:tcW w:w="2250" w:type="dxa"/>
          </w:tcPr>
          <w:p>
            <w:pPr>
              <w:pStyle w:val="Normal"/>
            </w:pPr>
            <w:r>
              <w:rPr>
                <w:i/>
              </w:rPr>
              <w:t xml:space="preserve">¬</w:t>
            </w:r>
          </w:p>
        </w:tc>
      </w:tr>
      <w:tr>
        <w:tc>
          <w:tcPr>
            <w:tcW w:w="2250" w:type="dxa"/>
          </w:tcPr>
          <w:p>
            <w:pPr>
              <w:pStyle w:val="Normal"/>
            </w:pPr>
            <w:r>
              <w:rPr>
                <w:rStyle w:val="InlineCode"/>
              </w:rPr>
              <w:t xml:space="preserve">$\cap$</w:t>
            </w:r>
          </w:p>
        </w:tc>
        <w:tc>
          <w:tcPr>
            <w:tcW w:w="2250" w:type="dxa"/>
          </w:tcPr>
          <w:p>
            <w:pPr>
              <w:pStyle w:val="Normal"/>
            </w:pPr>
            <w:r>
              <w:rPr>
                <w:i/>
              </w:rPr>
              <w:t xml:space="preserve">∩</w:t>
            </w:r>
          </w:p>
        </w:tc>
        <w:tc>
          <w:tcPr>
            <w:tcW w:w="2250" w:type="dxa"/>
          </w:tcPr>
          <w:p>
            <w:pPr>
              <w:pStyle w:val="Normal"/>
            </w:pPr>
            <w:r>
              <w:rPr>
                <w:rStyle w:val="InlineCode"/>
              </w:rPr>
              <w:t xml:space="preserve">$\setminus$</w:t>
            </w:r>
          </w:p>
        </w:tc>
        <w:tc>
          <w:tcPr>
            <w:tcW w:w="2250" w:type="dxa"/>
          </w:tcPr>
          <w:p>
            <w:pPr>
              <w:pStyle w:val="Normal"/>
            </w:pPr>
            <w:r>
              <w:rPr>
                <w:i/>
              </w:rPr>
              <w:t xml:space="preserve">∖</w:t>
            </w:r>
          </w:p>
        </w:tc>
      </w:tr>
    </w:tbl>
    <w:p>
      <w:pPr>
        <w:pStyle w:val="Normal"/>
      </w:pPr>
      <w:r>
        <w:rPr>
          <w:rStyle w:val="MetaLabel"/>
        </w:rPr>
        <w:t xml:space="preserve">markdown</w:t>
      </w:r>
    </w:p>
    <w:p>
      <w:pPr>
        <w:pStyle w:val="CodeBlock"/>
      </w:pPr>
      <w:r>
        <w:t xml:space="preserve">$\forall x \in \mathbb{N}, \exists y : y &gt; x$</w:t>
      </w:r>
    </w:p>
    <w:p>
      <w:pPr>
        <w:pStyle w:val="Heading2"/>
      </w:pPr>
      <w:r>
        <w:t xml:space="preserve">Math — set and logic</w:t>
      </w:r>
    </w:p>
    <w:p>
      <w:pPr>
        <w:pStyle w:val="Normal"/>
      </w:pPr>
      <w:r>
        <w:t xml:space="preserve">Renders as: </w:t>
      </w:r>
      <w:r>
        <w:rPr>
          <w:i/>
        </w:rPr>
        <w:t xml:space="preserve">∀x ∈\mathbbN, ∃y : y &gt; x</w:t>
      </w:r>
    </w:p>
    <w:p>
      <w:pPr>
        <w:pStyle w:val="Heading2"/>
      </w:pPr>
      <w:r>
        <w:t xml:space="preserve">Math — super and subscripts</w:t>
      </w:r>
    </w:p>
    <w:tbl>
      <w:tblPr>
        <w:tblW w:w="0" w:type="auto"/>
        <w:tblBorders>
          <w:top w:val="single" w:sz="4" w:color="CCCCCC"/>
          <w:left w:val="single" w:sz="4" w:color="CCCCCC"/>
          <w:bottom w:val="single" w:sz="4" w:color="CCCCCC"/>
          <w:right w:val="single" w:sz="4" w:color="CCCCCC"/>
          <w:insideH w:val="single" w:sz="4" w:color="EEEEEE"/>
          <w:insideV w:val="single" w:sz="4" w:color="EEEEEE"/>
        </w:tblBorders>
      </w:tblPr>
      <w:tblGrid>
        <w:gridCol w:w="4500"/>
        <w:gridCol w:w="4500"/>
      </w:tblGrid>
      <w:tr>
        <w:trPr>
          <w:tblHeader/>
        </w:trPr>
        <w:tc>
          <w:tcPr>
            <w:tcW w:w="4500" w:type="dxa"/>
            <w:shd w:val="clear" w:color="auto" w:fill="F1F5F9"/>
          </w:tcPr>
          <w:p>
            <w:pPr>
              <w:pStyle w:val="Normal"/>
            </w:pPr>
            <w:r>
              <w:rPr>
                <w:b/>
              </w:rPr>
              <w:t xml:space="preserve">Source</w:t>
            </w:r>
          </w:p>
        </w:tc>
        <w:tc>
          <w:tcPr>
            <w:tcW w:w="4500" w:type="dxa"/>
            <w:shd w:val="clear" w:color="auto" w:fill="F1F5F9"/>
          </w:tcPr>
          <w:p>
            <w:pPr>
              <w:pStyle w:val="Normal"/>
            </w:pPr>
            <w:r>
              <w:rPr>
                <w:b/>
              </w:rPr>
              <w:t xml:space="preserve">Renders as</w:t>
            </w:r>
          </w:p>
        </w:tc>
      </w:tr>
      <w:tr>
        <w:tc>
          <w:tcPr>
            <w:tcW w:w="4500" w:type="dxa"/>
          </w:tcPr>
          <w:p>
            <w:pPr>
              <w:pStyle w:val="Normal"/>
            </w:pPr>
            <w:r>
              <w:rPr>
                <w:rStyle w:val="InlineCode"/>
              </w:rPr>
              <w:t xml:space="preserve">$x^2$</w:t>
            </w:r>
          </w:p>
        </w:tc>
        <w:tc>
          <w:tcPr>
            <w:tcW w:w="4500" w:type="dxa"/>
          </w:tcPr>
          <w:p>
            <w:pPr>
              <w:pStyle w:val="Normal"/>
            </w:pPr>
            <w:r>
              <w:rPr>
                <w:i/>
              </w:rPr>
              <w:t xml:space="preserve">x²</w:t>
            </w:r>
          </w:p>
        </w:tc>
      </w:tr>
      <w:tr>
        <w:tc>
          <w:tcPr>
            <w:tcW w:w="4500" w:type="dxa"/>
          </w:tcPr>
          <w:p>
            <w:pPr>
              <w:pStyle w:val="Normal"/>
            </w:pPr>
            <w:r>
              <w:rPr>
                <w:rStyle w:val="InlineCode"/>
              </w:rPr>
              <w:t xml:space="preserve">$a_i$</w:t>
            </w:r>
          </w:p>
        </w:tc>
        <w:tc>
          <w:tcPr>
            <w:tcW w:w="4500" w:type="dxa"/>
          </w:tcPr>
          <w:p>
            <w:pPr>
              <w:pStyle w:val="Normal"/>
            </w:pPr>
            <w:r>
              <w:rPr>
                <w:i/>
              </w:rPr>
              <w:t xml:space="preserve">aᵢ</w:t>
            </w:r>
          </w:p>
        </w:tc>
      </w:tr>
      <w:tr>
        <w:tc>
          <w:tcPr>
            <w:tcW w:w="4500" w:type="dxa"/>
          </w:tcPr>
          <w:p>
            <w:pPr>
              <w:pStyle w:val="Normal"/>
            </w:pPr>
            <w:r>
              <w:rPr>
                <w:rStyle w:val="InlineCode"/>
              </w:rPr>
              <w:t xml:space="preserve">$x^{n+1}$</w:t>
            </w:r>
          </w:p>
        </w:tc>
        <w:tc>
          <w:tcPr>
            <w:tcW w:w="4500" w:type="dxa"/>
          </w:tcPr>
          <w:p>
            <w:pPr>
              <w:pStyle w:val="Normal"/>
            </w:pPr>
            <w:r>
              <w:rPr>
                <w:i/>
              </w:rPr>
              <w:t xml:space="preserve">xⁿ⁺¹</w:t>
            </w:r>
          </w:p>
        </w:tc>
      </w:tr>
      <w:tr>
        <w:tc>
          <w:tcPr>
            <w:tcW w:w="4500" w:type="dxa"/>
          </w:tcPr>
          <w:p>
            <w:pPr>
              <w:pStyle w:val="Normal"/>
            </w:pPr>
            <w:r>
              <w:rPr>
                <w:rStyle w:val="InlineCode"/>
              </w:rPr>
              <w:t xml:space="preserve">$a_{ij}$</w:t>
            </w:r>
          </w:p>
        </w:tc>
        <w:tc>
          <w:tcPr>
            <w:tcW w:w="4500" w:type="dxa"/>
          </w:tcPr>
          <w:p>
            <w:pPr>
              <w:pStyle w:val="Normal"/>
            </w:pPr>
            <w:r>
              <w:rPr>
                <w:i/>
              </w:rPr>
              <w:t xml:space="preserve">aᵢⱼ</w:t>
            </w:r>
          </w:p>
        </w:tc>
      </w:tr>
      <w:tr>
        <w:tc>
          <w:tcPr>
            <w:tcW w:w="4500" w:type="dxa"/>
          </w:tcPr>
          <w:p>
            <w:pPr>
              <w:pStyle w:val="Normal"/>
            </w:pPr>
            <w:r>
              <w:rPr>
                <w:rStyle w:val="InlineCode"/>
              </w:rPr>
              <w:t xml:space="preserve">$a_{ij}^{k+1}$</w:t>
            </w:r>
          </w:p>
        </w:tc>
        <w:tc>
          <w:tcPr>
            <w:tcW w:w="4500" w:type="dxa"/>
          </w:tcPr>
          <w:p>
            <w:pPr>
              <w:pStyle w:val="Normal"/>
            </w:pPr>
            <w:r>
              <w:rPr>
                <w:i/>
              </w:rPr>
              <w:t xml:space="preserve">aᵢⱼᵏ⁺¹</w:t>
            </w:r>
          </w:p>
        </w:tc>
      </w:tr>
      <w:tr>
        <w:tc>
          <w:tcPr>
            <w:tcW w:w="4500" w:type="dxa"/>
          </w:tcPr>
          <w:p>
            <w:pPr>
              <w:pStyle w:val="Normal"/>
            </w:pPr>
            <w:r>
              <w:rPr>
                <w:rStyle w:val="InlineCode"/>
              </w:rPr>
              <w:t xml:space="preserve">$e^{i\pi}$</w:t>
            </w:r>
          </w:p>
        </w:tc>
        <w:tc>
          <w:tcPr>
            <w:tcW w:w="4500" w:type="dxa"/>
          </w:tcPr>
          <w:p>
            <w:pPr>
              <w:pStyle w:val="Normal"/>
            </w:pPr>
            <w:r>
              <w:rPr>
                <w:i/>
              </w:rPr>
              <w:t xml:space="preserve">e^(iπ)</w:t>
            </w:r>
          </w:p>
        </w:tc>
      </w:tr>
      <w:tr>
        <w:tc>
          <w:tcPr>
            <w:tcW w:w="4500" w:type="dxa"/>
          </w:tcPr>
          <w:p>
            <w:pPr>
              <w:pStyle w:val="Normal"/>
            </w:pPr>
            <w:r>
              <w:rPr>
                <w:rStyle w:val="InlineCode"/>
              </w:rPr>
              <w:t xml:space="preserve">$\sigma_x$</w:t>
            </w:r>
          </w:p>
        </w:tc>
        <w:tc>
          <w:tcPr>
            <w:tcW w:w="4500" w:type="dxa"/>
          </w:tcPr>
          <w:p>
            <w:pPr>
              <w:pStyle w:val="Normal"/>
            </w:pPr>
            <w:r>
              <w:rPr>
                <w:i/>
              </w:rPr>
              <w:t xml:space="preserve">σₓ</w:t>
            </w:r>
          </w:p>
        </w:tc>
      </w:tr>
    </w:tbl>
    <w:p>
      <w:pPr>
        <w:pStyle w:val="Normal"/>
      </w:pPr>
      <w:r>
        <w:t xml:space="preserve">A single character following </w:t>
      </w:r>
      <w:r>
        <w:rPr>
          <w:rStyle w:val="InlineCode"/>
        </w:rPr>
        <w:t xml:space="preserve">^</w:t>
      </w:r>
      <w:r>
        <w:t xml:space="preserve"> or </w:t>
      </w:r>
      <w:r>
        <w:rPr>
          <w:rStyle w:val="InlineCode"/>
        </w:rPr>
        <w:t xml:space="preserve">_</w:t>
      </w:r>
      <w:r>
        <w:t xml:space="preserve"> is the superscript / subscript; for multi-character groups wrap them in </w:t>
      </w:r>
      <w:r>
        <w:rPr>
          <w:rStyle w:val="InlineCode"/>
        </w:rPr>
        <w:t xml:space="preserve">{…}</w:t>
      </w:r>
      <w:r>
        <w:t xml:space="preserve">.</w:t>
      </w:r>
    </w:p>
    <w:p>
      <w:pPr>
        <w:pStyle w:val="Heading2"/>
      </w:pPr>
      <w:r>
        <w:t xml:space="preserve">Math — fractions, roots, binomials</w:t>
      </w:r>
    </w:p>
    <w:tbl>
      <w:tblPr>
        <w:tblW w:w="0" w:type="auto"/>
        <w:tblBorders>
          <w:top w:val="single" w:sz="4" w:color="CCCCCC"/>
          <w:left w:val="single" w:sz="4" w:color="CCCCCC"/>
          <w:bottom w:val="single" w:sz="4" w:color="CCCCCC"/>
          <w:right w:val="single" w:sz="4" w:color="CCCCCC"/>
          <w:insideH w:val="single" w:sz="4" w:color="EEEEEE"/>
          <w:insideV w:val="single" w:sz="4" w:color="EEEEEE"/>
        </w:tblBorders>
      </w:tblPr>
      <w:tblGrid>
        <w:gridCol w:w="4500"/>
        <w:gridCol w:w="4500"/>
      </w:tblGrid>
      <w:tr>
        <w:trPr>
          <w:tblHeader/>
        </w:trPr>
        <w:tc>
          <w:tcPr>
            <w:tcW w:w="4500" w:type="dxa"/>
            <w:shd w:val="clear" w:color="auto" w:fill="F1F5F9"/>
          </w:tcPr>
          <w:p>
            <w:pPr>
              <w:pStyle w:val="Normal"/>
            </w:pPr>
            <w:r>
              <w:rPr>
                <w:b/>
              </w:rPr>
              <w:t xml:space="preserve">Source</w:t>
            </w:r>
          </w:p>
        </w:tc>
        <w:tc>
          <w:tcPr>
            <w:tcW w:w="4500" w:type="dxa"/>
            <w:shd w:val="clear" w:color="auto" w:fill="F1F5F9"/>
          </w:tcPr>
          <w:p>
            <w:pPr>
              <w:pStyle w:val="Normal"/>
            </w:pPr>
            <w:r>
              <w:rPr>
                <w:b/>
              </w:rPr>
              <w:t xml:space="preserve">Renders as</w:t>
            </w:r>
          </w:p>
        </w:tc>
      </w:tr>
      <w:tr>
        <w:tc>
          <w:tcPr>
            <w:tcW w:w="4500" w:type="dxa"/>
          </w:tcPr>
          <w:p>
            <w:pPr>
              <w:pStyle w:val="Normal"/>
            </w:pPr>
            <w:r>
              <w:rPr>
                <w:rStyle w:val="InlineCode"/>
              </w:rPr>
              <w:t xml:space="preserve">$\frac{a}{b}$</w:t>
            </w:r>
          </w:p>
        </w:tc>
        <w:tc>
          <w:tcPr>
            <w:tcW w:w="4500" w:type="dxa"/>
          </w:tcPr>
          <w:p>
            <w:pPr>
              <w:pStyle w:val="Normal"/>
            </w:pPr>
            <w:r>
              <w:rPr>
                <w:i/>
              </w:rPr>
              <w:t xml:space="preserve">(a)/(b)</w:t>
            </w:r>
          </w:p>
        </w:tc>
      </w:tr>
      <w:tr>
        <w:tc>
          <w:tcPr>
            <w:tcW w:w="4500" w:type="dxa"/>
          </w:tcPr>
          <w:p>
            <w:pPr>
              <w:pStyle w:val="Normal"/>
            </w:pPr>
            <w:r>
              <w:rPr>
                <w:rStyle w:val="InlineCode"/>
              </w:rPr>
              <w:t xml:space="preserve">$\frac{1}{1-r}$</w:t>
            </w:r>
          </w:p>
        </w:tc>
        <w:tc>
          <w:tcPr>
            <w:tcW w:w="4500" w:type="dxa"/>
          </w:tcPr>
          <w:p>
            <w:pPr>
              <w:pStyle w:val="Normal"/>
            </w:pPr>
            <w:r>
              <w:rPr>
                <w:i/>
              </w:rPr>
              <w:t xml:space="preserve">(1)/(1-r)</w:t>
            </w:r>
          </w:p>
        </w:tc>
      </w:tr>
      <w:tr>
        <w:tc>
          <w:tcPr>
            <w:tcW w:w="4500" w:type="dxa"/>
          </w:tcPr>
          <w:p>
            <w:pPr>
              <w:pStyle w:val="Normal"/>
            </w:pPr>
            <w:r>
              <w:rPr>
                <w:rStyle w:val="InlineCode"/>
              </w:rPr>
              <w:t xml:space="preserve">$\sqrt{x}$</w:t>
            </w:r>
          </w:p>
        </w:tc>
        <w:tc>
          <w:tcPr>
            <w:tcW w:w="4500" w:type="dxa"/>
          </w:tcPr>
          <w:p>
            <w:pPr>
              <w:pStyle w:val="Normal"/>
            </w:pPr>
            <w:r>
              <w:rPr>
                <w:i/>
              </w:rPr>
              <w:t xml:space="preserve">√(x)</w:t>
            </w:r>
          </w:p>
        </w:tc>
      </w:tr>
      <w:tr>
        <w:tc>
          <w:tcPr>
            <w:tcW w:w="4500" w:type="dxa"/>
          </w:tcPr>
          <w:p>
            <w:pPr>
              <w:pStyle w:val="Normal"/>
            </w:pPr>
            <w:r>
              <w:rPr>
                <w:rStyle w:val="InlineCode"/>
              </w:rPr>
              <w:t xml:space="preserve">$\sqrt{a^2 + b^2}$</w:t>
            </w:r>
          </w:p>
        </w:tc>
        <w:tc>
          <w:tcPr>
            <w:tcW w:w="4500" w:type="dxa"/>
          </w:tcPr>
          <w:p>
            <w:pPr>
              <w:pStyle w:val="Normal"/>
            </w:pPr>
            <w:r>
              <w:rPr>
                <w:i/>
              </w:rPr>
              <w:t xml:space="preserve">√(a² + b²)</w:t>
            </w:r>
          </w:p>
        </w:tc>
      </w:tr>
      <w:tr>
        <w:tc>
          <w:tcPr>
            <w:tcW w:w="4500" w:type="dxa"/>
          </w:tcPr>
          <w:p>
            <w:pPr>
              <w:pStyle w:val="Normal"/>
            </w:pPr>
            <w:r>
              <w:rPr>
                <w:rStyle w:val="InlineCode"/>
              </w:rPr>
              <w:t xml:space="preserve">$\binom{n}{k}$</w:t>
            </w:r>
          </w:p>
        </w:tc>
        <w:tc>
          <w:tcPr>
            <w:tcW w:w="4500" w:type="dxa"/>
          </w:tcPr>
          <w:p>
            <w:pPr>
              <w:pStyle w:val="Normal"/>
            </w:pPr>
            <w:r>
              <w:rPr>
                <w:i/>
              </w:rPr>
              <w:t xml:space="preserve">C(n, k)</w:t>
            </w:r>
          </w:p>
        </w:tc>
      </w:tr>
    </w:tbl>
    <w:p>
      <w:pPr>
        <w:pStyle w:val="Normal"/>
      </w:pPr>
      <w:r>
        <w:rPr>
          <w:rStyle w:val="MetaLabel"/>
        </w:rPr>
        <w:t xml:space="preserve">markdown</w:t>
      </w:r>
    </w:p>
    <w:p>
      <w:pPr>
        <w:pStyle w:val="CodeBlock"/>
      </w:pPr>
      <w:r>
        <w:t xml:space="preserve">$\frac{-b \pm \sqrt{b^2 - 4ac}}{2a}$</w:t>
      </w:r>
    </w:p>
    <w:p>
      <w:pPr>
        <w:pStyle w:val="Normal"/>
      </w:pPr>
      <w:r>
        <w:t xml:space="preserve">Renders as: </w:t>
      </w:r>
      <w:r>
        <w:rPr>
          <w:i/>
        </w:rPr>
        <w:t xml:space="preserve">(-b ±√(b² - 4ac))/(2a)</w:t>
      </w:r>
    </w:p>
    <w:p>
      <w:pPr>
        <w:pStyle w:val="Normal"/>
      </w:pPr>
      <w:r>
        <w:t xml:space="preserve">Fractions and roots render inline (no horizontal bar above the fraction, no extended radical sign). They read clearly but won't match a paper textbook visually — see "limitations" below.</w:t>
      </w:r>
    </w:p>
    <w:p>
      <w:pPr>
        <w:pStyle w:val="Heading2"/>
      </w:pPr>
      <w:r>
        <w:t xml:space="preserve">Math — operator names</w:t>
      </w:r>
    </w:p>
    <w:p>
      <w:pPr>
        <w:pStyle w:val="Normal"/>
      </w:pPr>
      <w:r>
        <w:t xml:space="preserve">LaTeX </w:t>
      </w:r>
      <w:r>
        <w:rPr>
          <w:rStyle w:val="InlineCode"/>
        </w:rPr>
        <w:t xml:space="preserve">\log</w:t>
      </w:r>
      <w:r>
        <w:t xml:space="preserve"> / </w:t>
      </w:r>
      <w:r>
        <w:rPr>
          <w:rStyle w:val="InlineCode"/>
        </w:rPr>
        <w:t xml:space="preserve">\sin</w:t>
      </w:r>
      <w:r>
        <w:t xml:space="preserve"> / etc. don't exist as Unicode characters; they're typeset as roman text inside math. md2any preserves them as plain ASCII with a trailing space so multiplication doesn't merge them with their argument.</w:t>
      </w:r>
    </w:p>
    <w:p>
      <w:pPr>
        <w:pStyle w:val="Heading2"/>
      </w:pPr>
      <w:r>
        <w:t xml:space="preserve">Math — operator names</w:t>
      </w:r>
    </w:p>
    <w:tbl>
      <w:tblPr>
        <w:tblW w:w="0" w:type="auto"/>
        <w:tblBorders>
          <w:top w:val="single" w:sz="4" w:color="CCCCCC"/>
          <w:left w:val="single" w:sz="4" w:color="CCCCCC"/>
          <w:bottom w:val="single" w:sz="4" w:color="CCCCCC"/>
          <w:right w:val="single" w:sz="4" w:color="CCCCCC"/>
          <w:insideH w:val="single" w:sz="4" w:color="EEEEEE"/>
          <w:insideV w:val="single" w:sz="4" w:color="EEEEEE"/>
        </w:tblBorders>
      </w:tblPr>
      <w:tblGrid>
        <w:gridCol w:w="4500"/>
        <w:gridCol w:w="4500"/>
      </w:tblGrid>
      <w:tr>
        <w:trPr>
          <w:tblHeader/>
        </w:trPr>
        <w:tc>
          <w:tcPr>
            <w:tcW w:w="4500" w:type="dxa"/>
            <w:shd w:val="clear" w:color="auto" w:fill="F1F5F9"/>
          </w:tcPr>
          <w:p>
            <w:pPr>
              <w:pStyle w:val="Normal"/>
            </w:pPr>
            <w:r>
              <w:rPr>
                <w:b/>
              </w:rPr>
              <w:t xml:space="preserve">Source</w:t>
            </w:r>
          </w:p>
        </w:tc>
        <w:tc>
          <w:tcPr>
            <w:tcW w:w="4500" w:type="dxa"/>
            <w:shd w:val="clear" w:color="auto" w:fill="F1F5F9"/>
          </w:tcPr>
          <w:p>
            <w:pPr>
              <w:pStyle w:val="Normal"/>
            </w:pPr>
            <w:r>
              <w:rPr>
                <w:b/>
              </w:rPr>
              <w:t xml:space="preserve">Renders as</w:t>
            </w:r>
          </w:p>
        </w:tc>
      </w:tr>
      <w:tr>
        <w:tc>
          <w:tcPr>
            <w:tcW w:w="4500" w:type="dxa"/>
          </w:tcPr>
          <w:p>
            <w:pPr>
              <w:pStyle w:val="Normal"/>
            </w:pPr>
            <w:r>
              <w:rPr>
                <w:rStyle w:val="InlineCode"/>
              </w:rPr>
              <w:t xml:space="preserve">$\log n$</w:t>
            </w:r>
          </w:p>
        </w:tc>
        <w:tc>
          <w:tcPr>
            <w:tcW w:w="4500" w:type="dxa"/>
          </w:tcPr>
          <w:p>
            <w:pPr>
              <w:pStyle w:val="Normal"/>
            </w:pPr>
            <w:r>
              <w:rPr>
                <w:i/>
              </w:rPr>
              <w:t xml:space="preserve">log n</w:t>
            </w:r>
          </w:p>
        </w:tc>
      </w:tr>
      <w:tr>
        <w:tc>
          <w:tcPr>
            <w:tcW w:w="4500" w:type="dxa"/>
          </w:tcPr>
          <w:p>
            <w:pPr>
              <w:pStyle w:val="Normal"/>
            </w:pPr>
            <w:r>
              <w:rPr>
                <w:rStyle w:val="InlineCode"/>
              </w:rPr>
              <w:t xml:space="preserve">$\ln x$</w:t>
            </w:r>
          </w:p>
        </w:tc>
        <w:tc>
          <w:tcPr>
            <w:tcW w:w="4500" w:type="dxa"/>
          </w:tcPr>
          <w:p>
            <w:pPr>
              <w:pStyle w:val="Normal"/>
            </w:pPr>
            <w:r>
              <w:rPr>
                <w:i/>
              </w:rPr>
              <w:t xml:space="preserve">ln x</w:t>
            </w:r>
          </w:p>
        </w:tc>
      </w:tr>
      <w:tr>
        <w:tc>
          <w:tcPr>
            <w:tcW w:w="4500" w:type="dxa"/>
          </w:tcPr>
          <w:p>
            <w:pPr>
              <w:pStyle w:val="Normal"/>
            </w:pPr>
            <w:r>
              <w:rPr>
                <w:rStyle w:val="InlineCode"/>
              </w:rPr>
              <w:t xml:space="preserve">$\sin \theta$</w:t>
            </w:r>
          </w:p>
        </w:tc>
        <w:tc>
          <w:tcPr>
            <w:tcW w:w="4500" w:type="dxa"/>
          </w:tcPr>
          <w:p>
            <w:pPr>
              <w:pStyle w:val="Normal"/>
            </w:pPr>
            <w:r>
              <w:rPr>
                <w:i/>
              </w:rPr>
              <w:t xml:space="preserve">sin θ</w:t>
            </w:r>
          </w:p>
        </w:tc>
      </w:tr>
      <w:tr>
        <w:tc>
          <w:tcPr>
            <w:tcW w:w="4500" w:type="dxa"/>
          </w:tcPr>
          <w:p>
            <w:pPr>
              <w:pStyle w:val="Normal"/>
            </w:pPr>
            <w:r>
              <w:rPr>
                <w:rStyle w:val="InlineCode"/>
              </w:rPr>
              <w:t xml:space="preserve">$\cos \theta$</w:t>
            </w:r>
          </w:p>
        </w:tc>
        <w:tc>
          <w:tcPr>
            <w:tcW w:w="4500" w:type="dxa"/>
          </w:tcPr>
          <w:p>
            <w:pPr>
              <w:pStyle w:val="Normal"/>
            </w:pPr>
            <w:r>
              <w:rPr>
                <w:i/>
              </w:rPr>
              <w:t xml:space="preserve">cos θ</w:t>
            </w:r>
          </w:p>
        </w:tc>
      </w:tr>
      <w:tr>
        <w:tc>
          <w:tcPr>
            <w:tcW w:w="4500" w:type="dxa"/>
          </w:tcPr>
          <w:p>
            <w:pPr>
              <w:pStyle w:val="Normal"/>
            </w:pPr>
            <w:r>
              <w:rPr>
                <w:rStyle w:val="InlineCode"/>
              </w:rPr>
              <w:t xml:space="preserve">$\tan \theta$</w:t>
            </w:r>
          </w:p>
        </w:tc>
        <w:tc>
          <w:tcPr>
            <w:tcW w:w="4500" w:type="dxa"/>
          </w:tcPr>
          <w:p>
            <w:pPr>
              <w:pStyle w:val="Normal"/>
            </w:pPr>
            <w:r>
              <w:rPr>
                <w:i/>
              </w:rPr>
              <w:t xml:space="preserve">tan θ</w:t>
            </w:r>
          </w:p>
        </w:tc>
      </w:tr>
      <w:tr>
        <w:tc>
          <w:tcPr>
            <w:tcW w:w="4500" w:type="dxa"/>
          </w:tcPr>
          <w:p>
            <w:pPr>
              <w:pStyle w:val="Normal"/>
            </w:pPr>
            <w:r>
              <w:rPr>
                <w:rStyle w:val="InlineCode"/>
              </w:rPr>
              <w:t xml:space="preserve">$\max(a, b)$</w:t>
            </w:r>
          </w:p>
        </w:tc>
        <w:tc>
          <w:tcPr>
            <w:tcW w:w="4500" w:type="dxa"/>
          </w:tcPr>
          <w:p>
            <w:pPr>
              <w:pStyle w:val="Normal"/>
            </w:pPr>
            <w:r>
              <w:rPr>
                <w:i/>
              </w:rPr>
              <w:t xml:space="preserve">max(a, b)</w:t>
            </w:r>
          </w:p>
        </w:tc>
      </w:tr>
      <w:tr>
        <w:tc>
          <w:tcPr>
            <w:tcW w:w="4500" w:type="dxa"/>
          </w:tcPr>
          <w:p>
            <w:pPr>
              <w:pStyle w:val="Normal"/>
            </w:pPr>
            <w:r>
              <w:rPr>
                <w:rStyle w:val="InlineCode"/>
              </w:rPr>
              <w:t xml:space="preserve">$\min(a, b)$</w:t>
            </w:r>
          </w:p>
        </w:tc>
        <w:tc>
          <w:tcPr>
            <w:tcW w:w="4500" w:type="dxa"/>
          </w:tcPr>
          <w:p>
            <w:pPr>
              <w:pStyle w:val="Normal"/>
            </w:pPr>
            <w:r>
              <w:rPr>
                <w:i/>
              </w:rPr>
              <w:t xml:space="preserve">min(a, b)</w:t>
            </w:r>
          </w:p>
        </w:tc>
      </w:tr>
      <w:tr>
        <w:tc>
          <w:tcPr>
            <w:tcW w:w="4500" w:type="dxa"/>
          </w:tcPr>
          <w:p>
            <w:pPr>
              <w:pStyle w:val="Normal"/>
            </w:pPr>
            <w:r>
              <w:rPr>
                <w:rStyle w:val="InlineCode"/>
              </w:rPr>
              <w:t xml:space="preserve">$\lim_{x \to 0}$</w:t>
            </w:r>
          </w:p>
        </w:tc>
        <w:tc>
          <w:tcPr>
            <w:tcW w:w="4500" w:type="dxa"/>
          </w:tcPr>
          <w:p>
            <w:pPr>
              <w:pStyle w:val="Normal"/>
            </w:pPr>
            <w:r>
              <w:rPr>
                <w:i/>
              </w:rPr>
              <w:t xml:space="preserve">lim_(x →0)</w:t>
            </w:r>
          </w:p>
        </w:tc>
      </w:tr>
      <w:tr>
        <w:tc>
          <w:tcPr>
            <w:tcW w:w="4500" w:type="dxa"/>
          </w:tcPr>
          <w:p>
            <w:pPr>
              <w:pStyle w:val="Normal"/>
            </w:pPr>
            <w:r>
              <w:rPr>
                <w:rStyle w:val="InlineCode"/>
              </w:rPr>
              <w:t xml:space="preserve">$\exp(x)$</w:t>
            </w:r>
          </w:p>
        </w:tc>
        <w:tc>
          <w:tcPr>
            <w:tcW w:w="4500" w:type="dxa"/>
          </w:tcPr>
          <w:p>
            <w:pPr>
              <w:pStyle w:val="Normal"/>
            </w:pPr>
            <w:r>
              <w:rPr>
                <w:i/>
              </w:rPr>
              <w:t xml:space="preserve">exp(x)</w:t>
            </w:r>
          </w:p>
        </w:tc>
      </w:tr>
    </w:tbl>
    <w:p>
      <w:pPr>
        <w:pStyle w:val="Heading2"/>
      </w:pPr>
      <w:r>
        <w:t xml:space="preserve">Math — operator names</w:t>
      </w:r>
    </w:p>
    <w:tbl>
      <w:tblPr>
        <w:tblW w:w="0" w:type="auto"/>
        <w:tblBorders>
          <w:top w:val="single" w:sz="4" w:color="CCCCCC"/>
          <w:left w:val="single" w:sz="4" w:color="CCCCCC"/>
          <w:bottom w:val="single" w:sz="4" w:color="CCCCCC"/>
          <w:right w:val="single" w:sz="4" w:color="CCCCCC"/>
          <w:insideH w:val="single" w:sz="4" w:color="EEEEEE"/>
          <w:insideV w:val="single" w:sz="4" w:color="EEEEEE"/>
        </w:tblBorders>
      </w:tblPr>
      <w:tblGrid>
        <w:gridCol w:w="4500"/>
        <w:gridCol w:w="4500"/>
      </w:tblGrid>
      <w:tr>
        <w:trPr>
          <w:tblHeader/>
        </w:trPr>
        <w:tc>
          <w:tcPr>
            <w:tcW w:w="4500" w:type="dxa"/>
            <w:shd w:val="clear" w:color="auto" w:fill="F1F5F9"/>
          </w:tcPr>
          <w:p>
            <w:pPr>
              <w:pStyle w:val="Normal"/>
            </w:pPr>
            <w:r>
              <w:rPr>
                <w:b/>
              </w:rPr>
              <w:t xml:space="preserve">Source</w:t>
            </w:r>
          </w:p>
        </w:tc>
        <w:tc>
          <w:tcPr>
            <w:tcW w:w="4500" w:type="dxa"/>
            <w:shd w:val="clear" w:color="auto" w:fill="F1F5F9"/>
          </w:tcPr>
          <w:p>
            <w:pPr>
              <w:pStyle w:val="Normal"/>
            </w:pPr>
            <w:r>
              <w:rPr>
                <w:b/>
              </w:rPr>
              <w:t xml:space="preserve">Renders as</w:t>
            </w:r>
          </w:p>
        </w:tc>
      </w:tr>
      <w:tr>
        <w:tc>
          <w:tcPr>
            <w:tcW w:w="4500" w:type="dxa"/>
          </w:tcPr>
          <w:p>
            <w:pPr>
              <w:pStyle w:val="Normal"/>
            </w:pPr>
            <w:r>
              <w:rPr>
                <w:rStyle w:val="InlineCode"/>
              </w:rPr>
              <w:t xml:space="preserve">$\det A$</w:t>
            </w:r>
          </w:p>
        </w:tc>
        <w:tc>
          <w:tcPr>
            <w:tcW w:w="4500" w:type="dxa"/>
          </w:tcPr>
          <w:p>
            <w:pPr>
              <w:pStyle w:val="Normal"/>
            </w:pPr>
            <w:r>
              <w:rPr>
                <w:i/>
              </w:rPr>
              <w:t xml:space="preserve">det A</w:t>
            </w:r>
          </w:p>
        </w:tc>
      </w:tr>
      <w:tr>
        <w:tc>
          <w:tcPr>
            <w:tcW w:w="4500" w:type="dxa"/>
          </w:tcPr>
          <w:p>
            <w:pPr>
              <w:pStyle w:val="Normal"/>
            </w:pPr>
            <w:r>
              <w:rPr>
                <w:rStyle w:val="InlineCode"/>
              </w:rPr>
              <w:t xml:space="preserve">$\gcd(a, b)$</w:t>
            </w:r>
          </w:p>
        </w:tc>
        <w:tc>
          <w:tcPr>
            <w:tcW w:w="4500" w:type="dxa"/>
          </w:tcPr>
          <w:p>
            <w:pPr>
              <w:pStyle w:val="Normal"/>
            </w:pPr>
            <w:r>
              <w:rPr>
                <w:i/>
              </w:rPr>
              <w:t xml:space="preserve">gcd(a, b)</w:t>
            </w:r>
          </w:p>
        </w:tc>
      </w:tr>
    </w:tbl>
    <w:p>
      <w:pPr>
        <w:pStyle w:val="Normal"/>
      </w:pPr>
      <w:r>
        <w:t xml:space="preserve">Also recognised: </w:t>
      </w:r>
      <w:r>
        <w:rPr>
          <w:rStyle w:val="InlineCode"/>
        </w:rPr>
        <w:t xml:space="preserve">\sec</w:t>
      </w:r>
      <w:r>
        <w:t xml:space="preserve"> </w:t>
      </w:r>
      <w:r>
        <w:rPr>
          <w:rStyle w:val="InlineCode"/>
        </w:rPr>
        <w:t xml:space="preserve">\csc</w:t>
      </w:r>
      <w:r>
        <w:t xml:space="preserve"> </w:t>
      </w:r>
      <w:r>
        <w:rPr>
          <w:rStyle w:val="InlineCode"/>
        </w:rPr>
        <w:t xml:space="preserve">\cot</w:t>
      </w:r>
      <w:r>
        <w:t xml:space="preserve"> </w:t>
      </w:r>
      <w:r>
        <w:rPr>
          <w:rStyle w:val="InlineCode"/>
        </w:rPr>
        <w:t xml:space="preserve">\sinh</w:t>
      </w:r>
      <w:r>
        <w:t xml:space="preserve"> </w:t>
      </w:r>
      <w:r>
        <w:rPr>
          <w:rStyle w:val="InlineCode"/>
        </w:rPr>
        <w:t xml:space="preserve">\cosh</w:t>
      </w:r>
      <w:r>
        <w:t xml:space="preserve"> </w:t>
      </w:r>
      <w:r>
        <w:rPr>
          <w:rStyle w:val="InlineCode"/>
        </w:rPr>
        <w:t xml:space="preserve">\tanh</w:t>
      </w:r>
      <w:r>
        <w:t xml:space="preserve"> </w:t>
      </w:r>
      <w:r>
        <w:rPr>
          <w:rStyle w:val="InlineCode"/>
        </w:rPr>
        <w:t xml:space="preserve">\arcsin</w:t>
      </w:r>
      <w:r>
        <w:t xml:space="preserve"> </w:t>
      </w:r>
      <w:r>
        <w:rPr>
          <w:rStyle w:val="InlineCode"/>
        </w:rPr>
        <w:t xml:space="preserve">\arccos</w:t>
      </w:r>
      <w:r>
        <w:t xml:space="preserve"> </w:t>
      </w:r>
      <w:r>
        <w:rPr>
          <w:rStyle w:val="InlineCode"/>
        </w:rPr>
        <w:t xml:space="preserve">\arctan</w:t>
      </w:r>
      <w:r>
        <w:t xml:space="preserve"> </w:t>
      </w:r>
      <w:r>
        <w:rPr>
          <w:rStyle w:val="InlineCode"/>
        </w:rPr>
        <w:t xml:space="preserve">\lg</w:t>
      </w:r>
      <w:r>
        <w:t xml:space="preserve"> </w:t>
      </w:r>
      <w:r>
        <w:rPr>
          <w:rStyle w:val="InlineCode"/>
        </w:rPr>
        <w:t xml:space="preserve">\sup</w:t>
      </w:r>
      <w:r>
        <w:t xml:space="preserve"> </w:t>
      </w:r>
      <w:r>
        <w:rPr>
          <w:rStyle w:val="InlineCode"/>
        </w:rPr>
        <w:t xml:space="preserve">\inf</w:t>
      </w:r>
      <w:r>
        <w:t xml:space="preserve">.</w:t>
      </w:r>
    </w:p>
    <w:p>
      <w:pPr>
        <w:pStyle w:val="Heading2"/>
      </w:pPr>
      <w:r>
        <w:t xml:space="preserve">Math — delimiters and spacing</w:t>
      </w:r>
    </w:p>
    <w:p>
      <w:pPr>
        <w:pStyle w:val="Normal"/>
      </w:pPr>
      <w:r>
        <w:rPr>
          <w:rStyle w:val="InlineCode"/>
        </w:rPr>
        <w:t xml:space="preserve">\left( ... \right)</w:t>
      </w:r>
      <w:r>
        <w:t xml:space="preserve"> and </w:t>
      </w:r>
      <w:r>
        <w:rPr>
          <w:rStyle w:val="InlineCode"/>
        </w:rPr>
        <w:t xml:space="preserve">\big[ ... \Big|</w:t>
      </w:r>
      <w:r>
        <w:t xml:space="preserve"> style macros normally tell TeX to grow the delimiter to match its contents. md2any has no glyph stacker, so these macros collapse to </w:t>
      </w:r>
      <w:r>
        <w:rPr>
          <w:i/>
        </w:rPr>
        <w:t xml:space="preserve">nothing</w:t>
      </w:r>
      <w:r>
        <w:t xml:space="preserve"> and the bare delimiter that follows renders at the body size. Equations still read correctly; they just don't grow.</w:t>
      </w:r>
    </w:p>
    <w:tbl>
      <w:tblPr>
        <w:tblW w:w="0" w:type="auto"/>
        <w:tblBorders>
          <w:top w:val="single" w:sz="4" w:color="CCCCCC"/>
          <w:left w:val="single" w:sz="4" w:color="CCCCCC"/>
          <w:bottom w:val="single" w:sz="4" w:color="CCCCCC"/>
          <w:right w:val="single" w:sz="4" w:color="CCCCCC"/>
          <w:insideH w:val="single" w:sz="4" w:color="EEEEEE"/>
          <w:insideV w:val="single" w:sz="4" w:color="EEEEEE"/>
        </w:tblBorders>
      </w:tblPr>
      <w:tblGrid>
        <w:gridCol w:w="4500"/>
        <w:gridCol w:w="4500"/>
      </w:tblGrid>
      <w:tr>
        <w:trPr>
          <w:tblHeader/>
        </w:trPr>
        <w:tc>
          <w:tcPr>
            <w:tcW w:w="4500" w:type="dxa"/>
            <w:shd w:val="clear" w:color="auto" w:fill="F1F5F9"/>
          </w:tcPr>
          <w:p>
            <w:pPr>
              <w:pStyle w:val="Normal"/>
            </w:pPr>
            <w:r>
              <w:rPr>
                <w:b/>
              </w:rPr>
              <w:t xml:space="preserve">Source</w:t>
            </w:r>
          </w:p>
        </w:tc>
        <w:tc>
          <w:tcPr>
            <w:tcW w:w="4500" w:type="dxa"/>
            <w:shd w:val="clear" w:color="auto" w:fill="F1F5F9"/>
          </w:tcPr>
          <w:p>
            <w:pPr>
              <w:pStyle w:val="Normal"/>
            </w:pPr>
            <w:r>
              <w:rPr>
                <w:b/>
              </w:rPr>
              <w:t xml:space="preserve">Renders as</w:t>
            </w:r>
          </w:p>
        </w:tc>
      </w:tr>
      <w:tr>
        <w:tc>
          <w:tcPr>
            <w:tcW w:w="4500" w:type="dxa"/>
          </w:tcPr>
          <w:p>
            <w:pPr>
              <w:pStyle w:val="Normal"/>
            </w:pPr>
            <w:r>
              <w:rPr>
                <w:rStyle w:val="InlineCode"/>
              </w:rPr>
              <w:t xml:space="preserve">$\left( x + y \right)$</w:t>
            </w:r>
          </w:p>
        </w:tc>
        <w:tc>
          <w:tcPr>
            <w:tcW w:w="4500" w:type="dxa"/>
          </w:tcPr>
          <w:p>
            <w:pPr>
              <w:pStyle w:val="Normal"/>
            </w:pPr>
            <w:r>
              <w:rPr>
                <w:i/>
              </w:rPr>
              <w:t xml:space="preserve">( x + y )</w:t>
            </w:r>
          </w:p>
        </w:tc>
      </w:tr>
      <w:tr>
        <w:tc>
          <w:tcPr>
            <w:tcW w:w="4500" w:type="dxa"/>
          </w:tcPr>
          <w:p>
            <w:pPr>
              <w:pStyle w:val="Normal"/>
            </w:pPr>
            <w:r>
              <w:rPr>
                <w:rStyle w:val="InlineCode"/>
              </w:rPr>
              <w:t xml:space="preserve">$\big[ a, b \big]$</w:t>
            </w:r>
          </w:p>
        </w:tc>
        <w:tc>
          <w:tcPr>
            <w:tcW w:w="4500" w:type="dxa"/>
          </w:tcPr>
          <w:p>
            <w:pPr>
              <w:pStyle w:val="Normal"/>
            </w:pPr>
            <w:r>
              <w:rPr>
                <w:i/>
              </w:rPr>
              <w:t xml:space="preserve">[ a, b ]</w:t>
            </w:r>
          </w:p>
        </w:tc>
      </w:tr>
      <w:tr>
        <w:tc>
          <w:tcPr>
            <w:tcW w:w="4500" w:type="dxa"/>
          </w:tcPr>
          <w:p>
            <w:pPr>
              <w:pStyle w:val="Normal"/>
            </w:pPr>
            <w:r>
              <w:rPr>
                <w:rStyle w:val="InlineCode"/>
              </w:rPr>
              <w:t xml:space="preserve">$\Big| \vec{v} \Big|$</w:t>
            </w:r>
          </w:p>
        </w:tc>
        <w:tc>
          <w:tcPr>
            <w:tcW w:w="4500" w:type="dxa"/>
          </w:tcPr>
          <w:p>
            <w:pPr>
              <w:pStyle w:val="Normal"/>
            </w:pPr>
            <w:r>
              <w:t xml:space="preserve">*</w:t>
            </w:r>
          </w:p>
        </w:tc>
      </w:tr>
    </w:tbl>
    <w:p>
      <w:pPr>
        <w:pStyle w:val="Normal"/>
      </w:pPr>
      <w:r>
        <w:t xml:space="preserve">Spacing macros map to ASCII space approximations: </w:t>
      </w:r>
      <w:r>
        <w:rPr>
          <w:rStyle w:val="InlineCode"/>
        </w:rPr>
        <w:t xml:space="preserve">\quad</w:t>
      </w:r>
      <w:r>
        <w:t xml:space="preserve"> → two spaces, </w:t>
      </w:r>
      <w:r>
        <w:rPr>
          <w:rStyle w:val="InlineCode"/>
        </w:rPr>
        <w:t xml:space="preserve">\qquad</w:t>
      </w:r>
      <w:r>
        <w:t xml:space="preserve"> → four, </w:t>
      </w:r>
      <w:r>
        <w:rPr>
          <w:rStyle w:val="InlineCode"/>
        </w:rPr>
        <w:t xml:space="preserve">\,</w:t>
      </w:r>
      <w:r>
        <w:t xml:space="preserve"> / </w:t>
      </w:r>
      <w:r>
        <w:rPr>
          <w:rStyle w:val="InlineCode"/>
        </w:rPr>
        <w:t xml:space="preserve">\:</w:t>
      </w:r>
      <w:r>
        <w:t xml:space="preserve"> / </w:t>
      </w:r>
      <w:r>
        <w:rPr>
          <w:rStyle w:val="InlineCode"/>
        </w:rPr>
        <w:t xml:space="preserve">\;</w:t>
      </w:r>
      <w:r>
        <w:t xml:space="preserve"> → thin space, </w:t>
      </w:r>
      <w:r>
        <w:rPr>
          <w:rStyle w:val="InlineCode"/>
        </w:rPr>
        <w:t xml:space="preserve">\!</w:t>
      </w:r>
      <w:r>
        <w:t xml:space="preserve"> → no-op.</w:t>
      </w:r>
    </w:p>
    <w:p>
      <w:pPr>
        <w:pStyle w:val="Heading2"/>
      </w:pPr>
      <w:r>
        <w:t xml:space="preserve">Math — dots and ellipses</w:t>
      </w:r>
    </w:p>
    <w:tbl>
      <w:tblPr>
        <w:tblW w:w="0" w:type="auto"/>
        <w:tblBorders>
          <w:top w:val="single" w:sz="4" w:color="CCCCCC"/>
          <w:left w:val="single" w:sz="4" w:color="CCCCCC"/>
          <w:bottom w:val="single" w:sz="4" w:color="CCCCCC"/>
          <w:right w:val="single" w:sz="4" w:color="CCCCCC"/>
          <w:insideH w:val="single" w:sz="4" w:color="EEEEEE"/>
          <w:insideV w:val="single" w:sz="4" w:color="EEEEEE"/>
        </w:tblBorders>
      </w:tblPr>
      <w:tblGrid>
        <w:gridCol w:w="4500"/>
        <w:gridCol w:w="4500"/>
      </w:tblGrid>
      <w:tr>
        <w:trPr>
          <w:tblHeader/>
        </w:trPr>
        <w:tc>
          <w:tcPr>
            <w:tcW w:w="4500" w:type="dxa"/>
            <w:shd w:val="clear" w:color="auto" w:fill="F1F5F9"/>
          </w:tcPr>
          <w:p>
            <w:pPr>
              <w:pStyle w:val="Normal"/>
            </w:pPr>
            <w:r>
              <w:rPr>
                <w:b/>
              </w:rPr>
              <w:t xml:space="preserve">Source</w:t>
            </w:r>
          </w:p>
        </w:tc>
        <w:tc>
          <w:tcPr>
            <w:tcW w:w="4500" w:type="dxa"/>
            <w:shd w:val="clear" w:color="auto" w:fill="F1F5F9"/>
          </w:tcPr>
          <w:p>
            <w:pPr>
              <w:pStyle w:val="Normal"/>
            </w:pPr>
            <w:r>
              <w:rPr>
                <w:b/>
              </w:rPr>
              <w:t xml:space="preserve">Renders as</w:t>
            </w:r>
          </w:p>
        </w:tc>
      </w:tr>
      <w:tr>
        <w:tc>
          <w:tcPr>
            <w:tcW w:w="4500" w:type="dxa"/>
          </w:tcPr>
          <w:p>
            <w:pPr>
              <w:pStyle w:val="Normal"/>
            </w:pPr>
            <w:r>
              <w:rPr>
                <w:rStyle w:val="InlineCode"/>
              </w:rPr>
              <w:t xml:space="preserve">$\ldots$</w:t>
            </w:r>
          </w:p>
        </w:tc>
        <w:tc>
          <w:tcPr>
            <w:tcW w:w="4500" w:type="dxa"/>
          </w:tcPr>
          <w:p>
            <w:pPr>
              <w:pStyle w:val="Normal"/>
            </w:pPr>
            <w:r>
              <w:rPr>
                <w:i/>
              </w:rPr>
              <w:t xml:space="preserve">…</w:t>
            </w:r>
          </w:p>
        </w:tc>
      </w:tr>
      <w:tr>
        <w:tc>
          <w:tcPr>
            <w:tcW w:w="4500" w:type="dxa"/>
          </w:tcPr>
          <w:p>
            <w:pPr>
              <w:pStyle w:val="Normal"/>
            </w:pPr>
            <w:r>
              <w:rPr>
                <w:rStyle w:val="InlineCode"/>
              </w:rPr>
              <w:t xml:space="preserve">$\cdots$</w:t>
            </w:r>
          </w:p>
        </w:tc>
        <w:tc>
          <w:tcPr>
            <w:tcW w:w="4500" w:type="dxa"/>
          </w:tcPr>
          <w:p>
            <w:pPr>
              <w:pStyle w:val="Normal"/>
            </w:pPr>
            <w:r>
              <w:rPr>
                <w:i/>
              </w:rPr>
              <w:t xml:space="preserve">⋯</w:t>
            </w:r>
          </w:p>
        </w:tc>
      </w:tr>
      <w:tr>
        <w:tc>
          <w:tcPr>
            <w:tcW w:w="4500" w:type="dxa"/>
          </w:tcPr>
          <w:p>
            <w:pPr>
              <w:pStyle w:val="Normal"/>
            </w:pPr>
            <w:r>
              <w:rPr>
                <w:rStyle w:val="InlineCode"/>
              </w:rPr>
              <w:t xml:space="preserve">$\vdots$</w:t>
            </w:r>
          </w:p>
        </w:tc>
        <w:tc>
          <w:tcPr>
            <w:tcW w:w="4500" w:type="dxa"/>
          </w:tcPr>
          <w:p>
            <w:pPr>
              <w:pStyle w:val="Normal"/>
            </w:pPr>
            <w:r>
              <w:rPr>
                <w:i/>
              </w:rPr>
              <w:t xml:space="preserve">⋮</w:t>
            </w:r>
          </w:p>
        </w:tc>
      </w:tr>
      <w:tr>
        <w:tc>
          <w:tcPr>
            <w:tcW w:w="4500" w:type="dxa"/>
          </w:tcPr>
          <w:p>
            <w:pPr>
              <w:pStyle w:val="Normal"/>
            </w:pPr>
            <w:r>
              <w:rPr>
                <w:rStyle w:val="InlineCode"/>
              </w:rPr>
              <w:t xml:space="preserve">$\ddots$</w:t>
            </w:r>
          </w:p>
        </w:tc>
        <w:tc>
          <w:tcPr>
            <w:tcW w:w="4500" w:type="dxa"/>
          </w:tcPr>
          <w:p>
            <w:pPr>
              <w:pStyle w:val="Normal"/>
            </w:pPr>
            <w:r>
              <w:rPr>
                <w:i/>
              </w:rPr>
              <w:t xml:space="preserve">⋱</w:t>
            </w:r>
          </w:p>
        </w:tc>
      </w:tr>
    </w:tbl>
    <w:p>
      <w:pPr>
        <w:pStyle w:val="Normal"/>
      </w:pPr>
      <w:r>
        <w:rPr>
          <w:rStyle w:val="MetaLabel"/>
        </w:rPr>
        <w:t xml:space="preserve">markdown</w:t>
      </w:r>
    </w:p>
    <w:p>
      <w:pPr>
        <w:pStyle w:val="CodeBlock"/>
      </w:pPr>
      <w:r>
        <w:t xml:space="preserve">$x_1, x_2, \ldots, x_n$</w:t>
      </w:r>
    </w:p>
    <w:p>
      <w:pPr>
        <w:pStyle w:val="CodeBlock"/>
      </w:pPr>
      <w:r>
        <w:t xml:space="preserve">$x_1 + x_2 + \cdots + x_n$</w:t>
      </w:r>
    </w:p>
    <w:p>
      <w:pPr>
        <w:pStyle w:val="Normal"/>
      </w:pPr>
      <w:r>
        <w:t xml:space="preserve">Render as: </w:t>
      </w:r>
      <w:r>
        <w:rPr>
          <w:i/>
        </w:rPr>
        <w:t xml:space="preserve">x₁, x₂, …, xₙ</w:t>
      </w:r>
      <w:r>
        <w:t xml:space="preserve"> and </w:t>
      </w:r>
      <w:r>
        <w:rPr>
          <w:i/>
        </w:rPr>
        <w:t xml:space="preserve">x₁ + x₂ + ⋯+ xₙ</w:t>
      </w:r>
      <w:r>
        <w:t xml:space="preserve">.</w:t>
      </w:r>
    </w:p>
    <w:p>
      <w:pPr>
        <w:pStyle w:val="Heading2"/>
      </w:pPr>
      <w:r>
        <w:t xml:space="preserve">Math — what md2any is not</w:t>
      </w:r>
    </w:p>
    <w:p>
      <w:pPr>
        <w:pStyle w:val="Normal"/>
      </w:pPr>
      <w:r>
        <w:t xml:space="preserve">The math support is intentionally shallow. If you need any of the following, render the formula with a real TeX engine and embed it as a PNG via the regular image syntax.</w:t>
      </w:r>
    </w:p>
    <w:p>
      <w:pPr>
        <w:pStyle w:val="ListParagraph"/>
        <w:numPr>
          <w:ilvl w:val="0"/>
          <w:numId w:val="1"/>
        </w:numPr>
      </w:pPr>
      <w:r>
        <w:rPr>
          <w:b/>
        </w:rPr>
        <w:t xml:space="preserve">No stacked fractions</w:t>
      </w:r>
      <w:r>
        <w:t xml:space="preserve"> — </w:t>
      </w:r>
      <w:r>
        <w:rPr>
          <w:rStyle w:val="InlineCode"/>
        </w:rPr>
        <w:t xml:space="preserve">\frac{}{}</w:t>
      </w:r>
      <w:r>
        <w:t xml:space="preserve"> becomes inline </w:t>
      </w:r>
      <w:r>
        <w:rPr>
          <w:rStyle w:val="InlineCode"/>
        </w:rPr>
        <w:t xml:space="preserve">(a)/(b)</w:t>
      </w:r>
      <w:r>
        <w:t xml:space="preserve">, not the textbook two-line form with a horizontal bar.</w:t>
      </w:r>
    </w:p>
    <w:p>
      <w:pPr>
        <w:pStyle w:val="ListParagraph"/>
        <w:numPr>
          <w:ilvl w:val="0"/>
          <w:numId w:val="1"/>
        </w:numPr>
      </w:pPr>
      <w:r>
        <w:rPr>
          <w:b/>
        </w:rPr>
        <w:t xml:space="preserve">No proper radical bars</w:t>
      </w:r>
      <w:r>
        <w:t xml:space="preserve"> — </w:t>
      </w:r>
      <w:r>
        <w:rPr>
          <w:rStyle w:val="InlineCode"/>
        </w:rPr>
        <w:t xml:space="preserve">\sqrt{}</w:t>
      </w:r>
      <w:r>
        <w:t xml:space="preserve"> becomes </w:t>
      </w:r>
      <w:r>
        <w:rPr>
          <w:rStyle w:val="InlineCode"/>
        </w:rPr>
        <w:t xml:space="preserve">√(...)</w:t>
      </w:r>
      <w:r>
        <w:t xml:space="preserve">, not a glyph with an extended bar over the radicand.</w:t>
      </w:r>
    </w:p>
    <w:p>
      <w:pPr>
        <w:pStyle w:val="ListParagraph"/>
        <w:numPr>
          <w:ilvl w:val="0"/>
          <w:numId w:val="1"/>
        </w:numPr>
      </w:pPr>
      <w:r>
        <w:rPr>
          <w:b/>
        </w:rPr>
        <w:t xml:space="preserve">No matrices</w:t>
      </w:r>
      <w:r>
        <w:t xml:space="preserve"> — </w:t>
      </w:r>
      <w:r>
        <w:rPr>
          <w:rStyle w:val="InlineCode"/>
        </w:rPr>
        <w:t xml:space="preserve">\begin{matrix} ... \end{matrix}</w:t>
      </w:r>
      <w:r>
        <w:t xml:space="preserve"> and friends are not parsed.</w:t>
      </w:r>
    </w:p>
    <w:p>
      <w:pPr>
        <w:pStyle w:val="ListParagraph"/>
        <w:numPr>
          <w:ilvl w:val="0"/>
          <w:numId w:val="1"/>
        </w:numPr>
      </w:pPr>
      <w:r>
        <w:rPr>
          <w:b/>
        </w:rPr>
        <w:t xml:space="preserve">No aligned equations</w:t>
      </w:r>
      <w:r>
        <w:t xml:space="preserve"> — each </w:t>
      </w:r>
      <w:r>
        <w:rPr>
          <w:rStyle w:val="InlineCode"/>
        </w:rPr>
        <w:t xml:space="preserve">$$...$$</w:t>
      </w:r>
      <w:r>
        <w:t xml:space="preserve"> block is one visual row; multi-line </w:t>
      </w:r>
      <w:r>
        <w:rPr>
          <w:rStyle w:val="InlineCode"/>
        </w:rPr>
        <w:t xml:space="preserve">\\</w:t>
      </w:r>
      <w:r>
        <w:t xml:space="preserve"> alignment isn't supported.</w:t>
      </w:r>
    </w:p>
    <w:p>
      <w:pPr>
        <w:pStyle w:val="ListParagraph"/>
        <w:numPr>
          <w:ilvl w:val="0"/>
          <w:numId w:val="1"/>
        </w:numPr>
      </w:pPr>
      <w:r>
        <w:rPr>
          <w:b/>
        </w:rPr>
        <w:t xml:space="preserve">No equation numbering</w:t>
      </w:r>
      <w:r>
        <w:t xml:space="preserve"> — there's no </w:t>
      </w:r>
      <w:r>
        <w:rPr>
          <w:rStyle w:val="InlineCode"/>
        </w:rPr>
        <w:t xml:space="preserve">\label</w:t>
      </w:r>
      <w:r>
        <w:t xml:space="preserve"> / </w:t>
      </w:r>
      <w:r>
        <w:rPr>
          <w:rStyle w:val="InlineCode"/>
        </w:rPr>
        <w:t xml:space="preserve">\ref</w:t>
      </w:r>
      <w:r>
        <w:t xml:space="preserve"> mechanism.</w:t>
      </w:r>
    </w:p>
    <w:p>
      <w:pPr>
        <w:pStyle w:val="ListParagraph"/>
        <w:numPr>
          <w:ilvl w:val="0"/>
          <w:numId w:val="1"/>
        </w:numPr>
      </w:pPr>
      <w:r>
        <w:rPr>
          <w:b/>
        </w:rPr>
        <w:t xml:space="preserve">No </w:t>
      </w:r>
      <w:r>
        <w:rPr>
          <w:b/>
          <w:rStyle w:val="InlineCode"/>
        </w:rPr>
        <w:t xml:space="preserve">\vec</w:t>
      </w:r>
      <w:r>
        <w:rPr>
          <w:b/>
        </w:rPr>
        <w:t xml:space="preserve"> accents</w:t>
      </w:r>
      <w:r>
        <w:t xml:space="preserve"> — the macro isn't recognised; write the letter directly or use Unicode (</w:t>
      </w:r>
      <w:r>
        <w:rPr>
          <w:rStyle w:val="InlineCode"/>
        </w:rPr>
        <w:t xml:space="preserve">v⃗</w:t>
      </w:r>
      <w:r>
        <w:t xml:space="preserve">).</w:t>
      </w:r>
    </w:p>
    <w:p>
      <w:pPr>
        <w:pStyle w:val="Normal"/>
      </w:pPr>
      <w:r>
        <w:t xml:space="preserve">Everything </w:t>
      </w:r>
      <w:r>
        <w:rPr>
          <w:i/>
        </w:rPr>
        <w:t xml:space="preserve">not</w:t>
      </w:r>
      <w:r>
        <w:t xml:space="preserve"> on that list works, and what works is enough for typical talk-deck math: equations, summations, integrals, set notation, predicate logic. For deeper notation, the image-embed escape hatch keeps your options open without bloating md2any.</w:t>
      </w:r>
    </w:p>
    <w:p>
      <w:pPr>
        <w:pStyle w:val="Heading2"/>
      </w:pPr>
      <w:r>
        <w:t xml:space="preserve">Math — copy-paste from PDF</w:t>
      </w:r>
    </w:p>
    <w:p>
      <w:pPr>
        <w:pStyle w:val="Normal"/>
      </w:pPr>
      <w:r>
        <w:t xml:space="preserve">PDF text is copy-pasteable. md2any writes a </w:t>
      </w:r>
      <w:r>
        <w:rPr>
          <w:rStyle w:val="InlineCode"/>
        </w:rPr>
        <w:t xml:space="preserve">/ToUnicode</w:t>
      </w:r>
      <w:r>
        <w:t xml:space="preserve"> CMap with every embedded font, so selecting a formula in your PDF reader gives you back real Unicode characters — not glyph indices, not Latin substitutes.</w:t>
      </w:r>
    </w:p>
    <w:p>
      <w:pPr>
        <w:pStyle w:val="Normal"/>
      </w:pPr>
      <w:r>
        <w:t xml:space="preserve">Try it: open the manual PDF, select </w:t>
      </w:r>
      <w:r>
        <w:rPr>
          <w:rStyle w:val="InlineCode"/>
        </w:rPr>
        <w:t xml:space="preserve">∑ᵢ₌₁ⁿ xᵢ²</w:t>
      </w:r>
      <w:r>
        <w:t xml:space="preserve"> from any math slide, paste somewhere. You'll get the actual Unicode characters back.</w:t>
      </w:r>
    </w:p>
    <w:p>
      <w:pPr>
        <w:pStyle w:val="Normal"/>
      </w:pPr>
      <w:r>
        <w:t xml:space="preserve">This works for every glyph in every face: Greek, math operators, sub/superscripts, the CJK fallback if you passed </w:t>
      </w:r>
      <w:r>
        <w:rPr>
          <w:rStyle w:val="InlineCode"/>
        </w:rPr>
        <w:t xml:space="preserve">--cjk</w:t>
      </w:r>
      <w:r>
        <w:t xml:space="preserve">, the line-drawing characters in the Unicode coverage slide.</w:t>
      </w:r>
    </w:p>
    <w:p>
      <w:pPr>
        <w:pStyle w:val="Heading2"/>
      </w:pPr>
      <w:r>
        <w:t xml:space="preserve">Diagrams</w:t>
      </w:r>
    </w:p>
    <w:p>
      <w:pPr>
        <w:pStyle w:val="Normal"/>
      </w:pPr>
      <w:r>
        <w:t xml:space="preserve">Code fences with </w:t>
      </w:r>
      <w:r>
        <w:rPr>
          <w:rStyle w:val="InlineCode"/>
        </w:rPr>
        <w:t xml:space="preserve">dot</w:t>
      </w:r>
      <w:r>
        <w:t xml:space="preserve">, </w:t>
      </w:r>
      <w:r>
        <w:rPr>
          <w:rStyle w:val="InlineCode"/>
        </w:rPr>
        <w:t xml:space="preserve">graphviz</w:t>
      </w:r>
      <w:r>
        <w:t xml:space="preserve">, </w:t>
      </w:r>
      <w:r>
        <w:rPr>
          <w:rStyle w:val="InlineCode"/>
        </w:rPr>
        <w:t xml:space="preserve">mermaid</w:t>
      </w:r>
      <w:r>
        <w:t xml:space="preserve">, or </w:t>
      </w:r>
      <w:r>
        <w:rPr>
          <w:rStyle w:val="InlineCode"/>
        </w:rPr>
        <w:t xml:space="preserve">plantuml</w:t>
      </w:r>
      <w:r>
        <w:t xml:space="preserve"> shell out to the matching CLI tool if it's on </w:t>
      </w:r>
      <w:r>
        <w:rPr>
          <w:rStyle w:val="InlineCode"/>
        </w:rPr>
        <w:t xml:space="preserve">$PATH</w:t>
      </w:r>
      <w:r>
        <w:t xml:space="preserve"> and embed the rendered PNG. If the tool isn't installed, the source stays as a regular code block.</w:t>
      </w:r>
    </w:p>
    <w:p>
      <w:pPr>
        <w:pStyle w:val="CodeBlock"/>
      </w:pPr>
      <w:r>
        <w:t xml:space="preserve">```dot</w:t>
      </w:r>
    </w:p>
    <w:p>
      <w:pPr>
        <w:pStyle w:val="CodeBlock"/>
      </w:pPr>
      <w:r>
        <w:t xml:space="preserve">digraph G {</w:t>
      </w:r>
    </w:p>
    <w:p>
      <w:pPr>
        <w:pStyle w:val="CodeBlock"/>
      </w:pPr>
      <w:r>
        <w:t xml:space="preserve">  rankdir=LR;</w:t>
      </w:r>
    </w:p>
    <w:p>
      <w:pPr>
        <w:pStyle w:val="CodeBlock"/>
      </w:pPr>
      <w:r>
        <w:t xml:space="preserve">  Client -&gt; Proxy -&gt; Database;</w:t>
      </w:r>
    </w:p>
    <w:p>
      <w:pPr>
        <w:pStyle w:val="CodeBlock"/>
      </w:pPr>
      <w:r>
        <w:t xml:space="preserve">}</w:t>
      </w:r>
    </w:p>
    <w:p>
      <w:pPr>
        <w:pStyle w:val="CodeBlock"/>
      </w:pPr>
      <w:r>
        <w:t xml:space="preserve">```</w:t>
      </w:r>
    </w:p>
    <w:p>
      <w:pPr>
        <w:pStyle w:val="Heading2"/>
      </w:pPr>
      <w:r>
        <w:t xml:space="preserve">Footnotes</w:t>
      </w:r>
    </w:p>
    <w:p>
      <w:pPr>
        <w:pStyle w:val="Normal"/>
      </w:pPr>
      <w:r>
        <w:t xml:space="preserve">Markdown footnotes (</w:t>
      </w:r>
      <w:r>
        <w:rPr>
          <w:rStyle w:val="InlineCode"/>
        </w:rPr>
        <w:t xml:space="preserve">[^id]</w:t>
      </w:r>
      <w:r>
        <w:t xml:space="preserve">) render as superscript ¹²³ in the body, with definitions collected at the bottom of the slide where they were referenced.</w:t>
      </w:r>
    </w:p>
    <w:p>
      <w:pPr>
        <w:pStyle w:val="Normal"/>
      </w:pPr>
      <w:r>
        <w:rPr>
          <w:rStyle w:val="MetaLabel"/>
        </w:rPr>
        <w:t xml:space="preserve">markdown</w:t>
      </w:r>
    </w:p>
    <w:p>
      <w:pPr>
        <w:pStyle w:val="CodeBlock"/>
      </w:pPr>
      <w:r>
        <w:t xml:space="preserve">Rust was first released in 2015[^rust].</w:t>
      </w:r>
    </w:p>
    <w:p>
      <w:pPr>
        <w:pStyle w:val="CodeBlock"/>
      </w:pPr>
      <w:r>
        <w:t xml:space="preserve"/>
      </w:r>
    </w:p>
    <w:p>
      <w:pPr>
        <w:pStyle w:val="CodeBlock"/>
      </w:pPr>
      <w:r>
        <w:t xml:space="preserve">[^rust]: Originally a personal project by Graydon Hoare at Mozilla.</w:t>
      </w:r>
    </w:p>
    <w:p>
      <w:pPr>
        <w:pStyle w:val="Heading2"/>
      </w:pPr>
      <w:r>
        <w:t xml:space="preserve">Horizontal rules</w:t>
      </w:r>
    </w:p>
    <w:p>
      <w:pPr>
        <w:pStyle w:val="Normal"/>
      </w:pPr>
      <w:r>
        <w:t xml:space="preserve">A line containing just </w:t>
      </w:r>
      <w:r>
        <w:rPr>
          <w:rStyle w:val="InlineCode"/>
        </w:rPr>
        <w:t xml:space="preserve">---</w:t>
      </w:r>
      <w:r>
        <w:t xml:space="preserve"> forces a slide break while keeping the current section title. Use it for long sections that need to split across slides without introducing a new H2.</w:t>
      </w:r>
    </w:p>
    <w:p>
      <w:pPr>
        <w:pStyle w:val="Heading2"/>
      </w:pPr>
      <w:r>
        <w:t xml:space="preserve">Images</w:t>
      </w:r>
    </w:p>
    <w:p>
      <w:pPr>
        <w:pStyle w:val="Normal"/>
      </w:pPr>
      <w:r>
        <w:t xml:space="preserve">Standard markdown image syntax works in every output format:</w:t>
      </w:r>
    </w:p>
    <w:p>
      <w:pPr>
        <w:pStyle w:val="Normal"/>
      </w:pPr>
      <w:r>
        <w:rPr>
          <w:rStyle w:val="MetaLabel"/>
        </w:rPr>
        <w:t xml:space="preserve">markdown</w:t>
      </w:r>
    </w:p>
    <w:p>
      <w:pPr>
        <w:pStyle w:val="CodeBlock"/>
      </w:pPr>
      <w:r>
        <w:t xml:space="preserve">![A diagram](diagrams/architecture.png)</w:t>
      </w:r>
    </w:p>
    <w:p>
      <w:pPr>
        <w:pStyle w:val="CodeBlock"/>
      </w:pPr>
      <w:r>
        <w:t xml:space="preserve">![Hero shot](https://example.com/hero.jpg)</w:t>
      </w:r>
    </w:p>
    <w:p>
      <w:pPr>
        <w:pStyle w:val="CodeBlock"/>
      </w:pPr>
      <w:r>
        <w:t xml:space="preserve">![Logo](brand/logo.svg)</w:t>
      </w:r>
    </w:p>
    <w:p>
      <w:pPr>
        <w:pStyle w:val="Heading2"/>
      </w:pPr>
      <w:r>
        <w:t xml:space="preserve">Images</w:t>
      </w:r>
    </w:p>
    <w:p>
      <w:pPr>
        <w:pStyle w:val="Normal"/>
      </w:pPr>
      <w:r>
        <w:t xml:space="preserve">Three sources, one syntax:</w:t>
      </w:r>
    </w:p>
    <w:p>
      <w:pPr>
        <w:pStyle w:val="ListParagraph"/>
        <w:numPr>
          <w:ilvl w:val="0"/>
          <w:numId w:val="1"/>
        </w:numPr>
      </w:pPr>
      <w:r>
        <w:rPr>
          <w:b/>
        </w:rPr>
        <w:t xml:space="preserve">Local PNG / JPEG</w:t>
      </w:r>
      <w:r>
        <w:t xml:space="preserve"> — resolved relative to the markdown file, embedded as-is.</w:t>
      </w:r>
    </w:p>
    <w:p>
      <w:pPr>
        <w:pStyle w:val="ListParagraph"/>
        <w:numPr>
          <w:ilvl w:val="0"/>
          <w:numId w:val="1"/>
        </w:numPr>
      </w:pPr>
      <w:r>
        <w:rPr>
          <w:b/>
        </w:rPr>
        <w:t xml:space="preserve">Remote URL</w:t>
      </w:r>
      <w:r>
        <w:t xml:space="preserve"> (</w:t>
      </w:r>
      <w:r>
        <w:rPr>
          <w:rStyle w:val="InlineCode"/>
        </w:rPr>
        <w:t xml:space="preserve">http://</w:t>
      </w:r>
      <w:r>
        <w:t xml:space="preserve"> or </w:t>
      </w:r>
      <w:r>
        <w:rPr>
          <w:rStyle w:val="InlineCode"/>
        </w:rPr>
        <w:t xml:space="preserve">https://</w:t>
      </w:r>
      <w:r>
        <w:t xml:space="preserve">) — fetched at build time with a 10 s timeout, capped at 20 MB per image, and cached after a successful download. The default cache location follows the host OS convention: </w:t>
      </w:r>
      <w:r>
        <w:rPr>
          <w:rStyle w:val="InlineCode"/>
        </w:rPr>
        <w:t xml:space="preserve">%LOCALAPPDATA%</w:t>
      </w:r>
      <w:r>
        <w:t xml:space="preserve"> on Windows, </w:t>
      </w:r>
      <w:r>
        <w:rPr>
          <w:rStyle w:val="InlineCode"/>
        </w:rPr>
        <w:t xml:space="preserve">~/Library/Caches</w:t>
      </w:r>
      <w:r>
        <w:t xml:space="preserve"> on macOS, and </w:t>
      </w:r>
      <w:r>
        <w:rPr>
          <w:rStyle w:val="InlineCode"/>
        </w:rPr>
        <w:t xml:space="preserve">$XDG_CACHE_HOME</w:t>
      </w:r>
      <w:r>
        <w:t xml:space="preserve"> / </w:t>
      </w:r>
      <w:r>
        <w:rPr>
          <w:rStyle w:val="InlineCode"/>
        </w:rPr>
        <w:t xml:space="preserve">~/.cache</w:t>
      </w:r>
      <w:r>
        <w:t xml:space="preserve"> on Linux and other Unix systems.</w:t>
      </w:r>
    </w:p>
    <w:p>
      <w:pPr>
        <w:pStyle w:val="ListParagraph"/>
        <w:numPr>
          <w:ilvl w:val="0"/>
          <w:numId w:val="1"/>
        </w:numPr>
      </w:pPr>
      <w:r>
        <w:rPr>
          <w:b/>
        </w:rPr>
        <w:t xml:space="preserve">SVG</w:t>
      </w:r>
      <w:r>
        <w:t xml:space="preserve"> — rasterised to PNG via the bundled resvg engine at 192 DPI (2× retina), then embedded the same way as a regular raster image. Text in SVGs uses md2any's bundled DejaVu Sans family so renders look identical regardless of what's installed on the build machine.</w:t>
      </w:r>
    </w:p>
    <w:p>
      <w:pPr>
        <w:pStyle w:val="Normal"/>
      </w:pPr>
      <w:r>
        <w:t xml:space="preserve">Aspect ratio is preserved; the slide layout decides how much room each image gets.</w:t>
      </w:r>
    </w:p>
    <w:p>
      <w:pPr>
        <w:pStyle w:val="Heading2"/>
      </w:pPr>
      <w:r>
        <w:t xml:space="preserve">Images</w:t>
      </w:r>
    </w:p>
    <w:p>
      <w:pPr>
        <w:pStyle w:val="Heading3"/>
      </w:pPr>
      <w:r>
        <w:t xml:space="preserve">Sizing — </w:t>
      </w:r>
      <w:r>
        <w:rPr>
          <w:rStyle w:val="InlineCode"/>
        </w:rPr>
        <w:t xml:space="preserve">{width=N%}</w:t>
      </w:r>
    </w:p>
    <w:p>
      <w:pPr>
        <w:pStyle w:val="Normal"/>
      </w:pPr>
      <w:r>
        <w:t xml:space="preserve">Append a Pandoc-style attribute to set the image to a fraction of the content column (slide formats only — DOCX/ODT defer to the consumer app):</w:t>
      </w:r>
    </w:p>
    <w:p>
      <w:pPr>
        <w:pStyle w:val="Normal"/>
      </w:pPr>
      <w:r>
        <w:rPr>
          <w:rStyle w:val="MetaLabel"/>
        </w:rPr>
        <w:t xml:space="preserve">markdown</w:t>
      </w:r>
    </w:p>
    <w:p>
      <w:pPr>
        <w:pStyle w:val="CodeBlock"/>
      </w:pPr>
      <w:r>
        <w:t xml:space="preserve">![Architecture](diagrams/arch.png){width=50%}</w:t>
      </w:r>
    </w:p>
    <w:p>
      <w:pPr>
        <w:pStyle w:val="CodeBlock"/>
      </w:pPr>
      <w:r>
        <w:t xml:space="preserve">![Logo](brand/logo.png){width=20%}</w:t>
      </w:r>
    </w:p>
    <w:p>
      <w:pPr>
        <w:pStyle w:val="Normal"/>
      </w:pPr>
      <w:r>
        <w:t xml:space="preserve">Valid range is 1–100. Unrecognised attributes are ignored silently. Without the attribute, the image fills the content column at its native aspect ratio.</w:t>
      </w:r>
    </w:p>
    <w:p>
      <w:pPr>
        <w:pStyle w:val="Heading3"/>
      </w:pPr>
      <w:r>
        <w:t xml:space="preserve">Two-column image layouts</w:t>
      </w:r>
    </w:p>
    <w:p>
      <w:pPr>
        <w:pStyle w:val="Heading2"/>
      </w:pPr>
      <w:r>
        <w:t xml:space="preserve">Images</w:t>
      </w:r>
    </w:p>
    <w:p>
      <w:pPr>
        <w:pStyle w:val="Normal"/>
      </w:pPr>
      <w:r>
        <w:t xml:space="preserve">Two layout directives place a single image alongside the rest of the slide content:</w:t>
      </w:r>
    </w:p>
    <w:p>
      <w:pPr>
        <w:pStyle w:val="Normal"/>
      </w:pPr>
      <w:r>
        <w:rPr>
          <w:rStyle w:val="MetaLabel"/>
        </w:rPr>
        <w:t xml:space="preserve">markdown</w:t>
      </w:r>
    </w:p>
    <w:p>
      <w:pPr>
        <w:pStyle w:val="CodeBlock"/>
      </w:pPr>
      <w:r>
        <w:t xml:space="preserve">## Architecture</w:t>
      </w:r>
    </w:p>
    <w:p>
      <w:pPr>
        <w:pStyle w:val="CodeBlock"/>
      </w:pPr>
      <w:r>
        <w:t xml:space="preserve"/>
      </w:r>
    </w:p>
    <w:p>
      <w:pPr>
        <w:pStyle w:val="CodeBlock"/>
      </w:pPr>
      <w:r>
        <w:t xml:space="preserve">&lt;!-- layout: image-left --&gt;</w:t>
      </w:r>
    </w:p>
    <w:p>
      <w:pPr>
        <w:pStyle w:val="CodeBlock"/>
      </w:pPr>
      <w:r>
        <w:t xml:space="preserve"/>
      </w:r>
    </w:p>
    <w:p>
      <w:pPr>
        <w:pStyle w:val="CodeBlock"/>
      </w:pPr>
      <w:r>
        <w:t xml:space="preserve">![diagram](arch.png)</w:t>
      </w:r>
    </w:p>
    <w:p>
      <w:pPr>
        <w:pStyle w:val="CodeBlock"/>
      </w:pPr>
      <w:r>
        <w:t xml:space="preserve"/>
      </w:r>
    </w:p>
    <w:p>
      <w:pPr>
        <w:pStyle w:val="CodeBlock"/>
      </w:pPr>
      <w:r>
        <w:t xml:space="preserve">Walks the request through the API gateway, then the service mesh,</w:t>
      </w:r>
    </w:p>
    <w:p>
      <w:pPr>
        <w:pStyle w:val="CodeBlock"/>
      </w:pPr>
      <w:r>
        <w:t xml:space="preserve">then into the database tier. Each hop is observable via OpenTelemetry.</w:t>
      </w:r>
    </w:p>
    <w:p>
      <w:pPr>
        <w:pStyle w:val="Normal"/>
      </w:pPr>
      <w:r>
        <w:rPr>
          <w:rStyle w:val="InlineCode"/>
        </w:rPr>
        <w:t xml:space="preserve">&lt;!-- layout: image-left --&gt;</w:t>
      </w:r>
      <w:r>
        <w:t xml:space="preserve"> puts the image on the left and everything else on the right. </w:t>
      </w:r>
      <w:r>
        <w:rPr>
          <w:rStyle w:val="InlineCode"/>
        </w:rPr>
        <w:t xml:space="preserve">&lt;!-- layout: image-right --&gt;</w:t>
      </w:r>
      <w:r>
        <w:t xml:space="preserve"> does the opposite. The directive triggers only when the slide has exactly one image; otherwise it's ignored.</w:t>
      </w:r>
    </w:p>
    <w:p>
      <w:pPr>
        <w:pStyle w:val="Heading2"/>
      </w:pPr>
      <w:r>
        <w:t xml:space="preserve">Images</w:t>
      </w:r>
    </w:p>
    <w:p>
      <w:pPr>
        <w:pStyle w:val="Normal"/>
      </w:pPr>
      <w:r>
        <w:t xml:space="preserve">Remote-image cache controls:</w:t>
      </w:r>
    </w:p>
    <w:p>
      <w:pPr>
        <w:pStyle w:val="Normal"/>
      </w:pPr>
      <w:r>
        <w:rPr>
          <w:rStyle w:val="MetaLabel"/>
        </w:rPr>
        <w:t xml:space="preserve">bash</w:t>
      </w:r>
    </w:p>
    <w:p>
      <w:pPr>
        <w:pStyle w:val="CodeBlock"/>
      </w:pPr>
      <w:r>
        <w:t xml:space="preserve">md2any talk.md -o talk.pdf</w:t>
      </w:r>
    </w:p>
    <w:p>
      <w:pPr>
        <w:pStyle w:val="CodeBlock"/>
      </w:pPr>
      <w:r>
        <w:t xml:space="preserve">md2any talk.md --remote-image-cache ./.md2any-cache -o talk.pdf</w:t>
      </w:r>
    </w:p>
    <w:p>
      <w:pPr>
        <w:pStyle w:val="CodeBlock"/>
      </w:pPr>
      <w:r>
        <w:t xml:space="preserve">md2any talk.md --no-remote-image-cache -o talk.pdf</w:t>
      </w:r>
    </w:p>
    <w:p>
      <w:pPr>
        <w:pStyle w:val="CodeBlock"/>
      </w:pPr>
      <w:r>
        <w:t xml:space="preserve">md2any talk.md --remote-image-user-agent "my-build/1.0" -o talk.pdf</w:t>
      </w:r>
    </w:p>
    <w:p>
      <w:pPr>
        <w:pStyle w:val="Normal"/>
      </w:pPr>
      <w:r>
        <w:t xml:space="preserve">Remote fetches retry transient failures (HTTP 408 / 429 / 500 / 502 / 503 / 504, network errors) up to three times with capped exponential backoff (max 30 s per wait), honouring </w:t>
      </w:r>
      <w:r>
        <w:rPr>
          <w:rStyle w:val="InlineCode"/>
        </w:rPr>
        <w:t xml:space="preserve">Retry-After</w:t>
      </w:r>
      <w:r>
        <w:t xml:space="preserve"> in both delta-seconds and HTTP-date forms. If your binary was compiled without the </w:t>
      </w:r>
      <w:r>
        <w:rPr>
          <w:rStyle w:val="InlineCode"/>
        </w:rPr>
        <w:t xml:space="preserve">remote-images</w:t>
      </w:r>
      <w:r>
        <w:t xml:space="preserve"> feature, </w:t>
      </w:r>
      <w:r>
        <w:rPr>
          <w:rStyle w:val="InlineCode"/>
        </w:rPr>
        <w:t xml:space="preserve">http://</w:t>
      </w:r>
      <w:r>
        <w:t xml:space="preserve"> and </w:t>
      </w:r>
      <w:r>
        <w:rPr>
          <w:rStyle w:val="InlineCode"/>
        </w:rPr>
        <w:t xml:space="preserve">https://</w:t>
      </w:r>
      <w:r>
        <w:t xml:space="preserve"> image references fail with a clear error; local images still work.</w:t>
      </w:r>
    </w:p>
    <w:p>
      <w:pPr>
        <w:pStyle w:val="Heading2"/>
      </w:pPr>
      <w:r>
        <w:t xml:space="preserve">Images</w:t>
      </w:r>
    </w:p>
    <w:p>
      <w:pPr>
        <w:pStyle w:val="Normal"/>
      </w:pPr>
      <w:r>
        <w:rPr>
          <w:b/>
        </w:rPr>
        <w:t xml:space="preserve">On failure: placeholder instead of abort.</w:t>
      </w:r>
      <w:r>
        <w:t xml:space="preserve"> If an image can't be loaded — network failure, 404, garbage body, file missing, payload over the 20 MB cap, broken SVG — md2any prints a one-line stderr warning naming the source and the reason, then substitutes a red "Image failed to load" placeholder that includes the URL and error text. The render completes; you ship a deck where every missing-image slot is visibly flagged rather than discovering the failure when a viewer opens the file. CI pipelines can grep stderr for </w:t>
      </w:r>
      <w:r>
        <w:rPr>
          <w:rStyle w:val="InlineCode"/>
        </w:rPr>
        <w:t xml:space="preserve">warning: image failed</w:t>
      </w:r>
      <w:r>
        <w:t xml:space="preserve"> to surface the issue without failing the build.</w:t>
      </w:r>
    </w:p>
    <w:p>
      <w:pPr>
        <w:pStyle w:val="Heading2"/>
      </w:pPr>
      <w:r>
        <w:t xml:space="preserve">Images</w:t>
      </w:r>
    </w:p>
    <w:p>
      <w:pPr>
        <w:pStyle w:val="Normal"/>
      </w:pPr>
      <w:r>
        <w:rPr>
          <w:b/>
        </w:rPr>
        <w:t xml:space="preserve">Cache retention.</w:t>
      </w:r>
      <w:r>
        <w:t xml:space="preserve"> Remote images are fetched once and reused on every subsequent render — there's no expiry and no conditional </w:t>
      </w:r>
      <w:r>
        <w:rPr>
          <w:rStyle w:val="InlineCode"/>
        </w:rPr>
        <w:t xml:space="preserve">If-Modified-Since</w:t>
      </w:r>
      <w:r>
        <w:t xml:space="preserve"> / </w:t>
      </w:r>
      <w:r>
        <w:rPr>
          <w:rStyle w:val="InlineCode"/>
        </w:rPr>
        <w:t xml:space="preserve">ETag</w:t>
      </w:r>
      <w:r>
        <w:t xml:space="preserve"> round-trip. If a remote image gets updated upstream, you'll keep seeing the old version until you delete the cache file. The default cache directory follows the platform convention; </w:t>
      </w:r>
      <w:r>
        <w:rPr>
          <w:rStyle w:val="InlineCode"/>
        </w:rPr>
        <w:t xml:space="preserve">md2any doctor</w:t>
      </w:r>
      <w:r>
        <w:t xml:space="preserve"> prints the resolved path. Clearing is just </w:t>
      </w:r>
      <w:r>
        <w:rPr>
          <w:rStyle w:val="InlineCode"/>
        </w:rPr>
        <w:t xml:space="preserve">rm -rf &lt;cache-dir&gt;/remote-images/</w:t>
      </w:r>
      <w:r>
        <w:t xml:space="preserve">. The cap is 20 MB per image; oversized payloads trip the placeholder substitution above instead of silently truncating.</w:t>
      </w:r>
    </w:p>
    <w:p>
      <w:pPr>
        <w:pStyle w:val="Heading2"/>
      </w:pPr>
      <w:r>
        <w:t xml:space="preserve">Per-slide background</w:t>
      </w:r>
    </w:p>
    <w:p>
      <w:pPr>
        <w:pStyle w:val="Normal"/>
      </w:pPr>
      <w:r>
        <w:t xml:space="preserve">An HTML comment with </w:t>
      </w:r>
      <w:r>
        <w:rPr>
          <w:rStyle w:val="InlineCode"/>
        </w:rPr>
        <w:t xml:space="preserve">bg:</w:t>
      </w:r>
      <w:r>
        <w:t xml:space="preserve"> sets a full-bleed background image for the current slide.</w:t>
      </w:r>
    </w:p>
    <w:p>
      <w:pPr>
        <w:pStyle w:val="Normal"/>
      </w:pPr>
      <w:r>
        <w:rPr>
          <w:rStyle w:val="MetaLabel"/>
        </w:rPr>
        <w:t xml:space="preserve">markdown</w:t>
      </w:r>
    </w:p>
    <w:p>
      <w:pPr>
        <w:pStyle w:val="CodeBlock"/>
      </w:pPr>
      <w:r>
        <w:t xml:space="preserve"># Hero slide</w:t>
      </w:r>
    </w:p>
    <w:p>
      <w:pPr>
        <w:pStyle w:val="CodeBlock"/>
      </w:pPr>
      <w:r>
        <w:t xml:space="preserve"/>
      </w:r>
    </w:p>
    <w:p>
      <w:pPr>
        <w:pStyle w:val="CodeBlock"/>
      </w:pPr>
      <w:r>
        <w:t xml:space="preserve">&lt;!-- bg: photos/hero.jpg --&gt;</w:t>
      </w:r>
    </w:p>
    <w:p>
      <w:pPr>
        <w:pStyle w:val="CodeBlock"/>
      </w:pPr>
      <w:r>
        <w:t xml:space="preserve"/>
      </w:r>
    </w:p>
    <w:p>
      <w:pPr>
        <w:pStyle w:val="CodeBlock"/>
      </w:pPr>
      <w:r>
        <w:t xml:space="preserve">A statement.</w:t>
      </w:r>
    </w:p>
    <w:p>
      <w:pPr>
        <w:pStyle w:val="Normal"/>
      </w:pPr>
      <w:r>
        <w:t xml:space="preserve">Images load relative to the deck file. Background propagates through </w:t>
      </w:r>
      <w:r>
        <w:rPr>
          <w:rStyle w:val="InlineCode"/>
        </w:rPr>
        <w:t xml:space="preserve">(cont.)</w:t>
      </w:r>
      <w:r>
        <w:t xml:space="preserve"> continuation slides.</w:t>
      </w:r>
    </w:p>
    <w:p>
      <w:pPr>
        <w:pStyle w:val="Heading1"/>
      </w:pPr>
      <w:r>
        <w:t xml:space="preserve">Layouts</w:t>
      </w:r>
    </w:p>
    <w:p>
      <w:pPr>
        <w:pStyle w:val="Heading2"/>
      </w:pPr>
      <w:r>
        <w:t xml:space="preserve">Four ways to dress a deck</w:t>
      </w:r>
    </w:p>
    <w:p>
      <w:pPr>
        <w:pStyle w:val="Normal"/>
      </w:pPr>
      <w:r>
        <w:t xml:space="preserve">Same Markdown, different visual treatment:</w:t>
      </w:r>
    </w:p>
    <w:p>
      <w:pPr>
        <w:pStyle w:val="ListParagraph"/>
        <w:numPr>
          <w:ilvl w:val="0"/>
          <w:numId w:val="1"/>
        </w:numPr>
      </w:pPr>
      <w:r>
        <w:rPr>
          <w:rStyle w:val="InlineCode"/>
        </w:rPr>
        <w:t xml:space="preserve">clean</w:t>
      </w:r>
      <w:r>
        <w:t xml:space="preserve"> — minimal title underline + full-bleed content (default)</w:t>
      </w:r>
    </w:p>
    <w:p>
      <w:pPr>
        <w:pStyle w:val="ListParagraph"/>
        <w:numPr>
          <w:ilvl w:val="0"/>
          <w:numId w:val="1"/>
        </w:numPr>
      </w:pPr>
      <w:r>
        <w:rPr>
          <w:rStyle w:val="InlineCode"/>
        </w:rPr>
        <w:t xml:space="preserve">studio</w:t>
      </w:r>
      <w:r>
        <w:t xml:space="preserve"> — vertical accent rail, italic titles, big background numerals on sections</w:t>
      </w:r>
    </w:p>
    <w:p>
      <w:pPr>
        <w:pStyle w:val="ListParagraph"/>
        <w:numPr>
          <w:ilvl w:val="0"/>
          <w:numId w:val="1"/>
        </w:numPr>
      </w:pPr>
      <w:r>
        <w:rPr>
          <w:rStyle w:val="InlineCode"/>
        </w:rPr>
        <w:t xml:space="preserve">frame</w:t>
      </w:r>
      <w:r>
        <w:t xml:space="preserve"> — left sidebar carries deck title + slide number; content on the right</w:t>
      </w:r>
    </w:p>
    <w:p>
      <w:pPr>
        <w:pStyle w:val="ListParagraph"/>
        <w:numPr>
          <w:ilvl w:val="0"/>
          <w:numId w:val="1"/>
        </w:numPr>
      </w:pPr>
      <w:r>
        <w:rPr>
          <w:rStyle w:val="InlineCode"/>
        </w:rPr>
        <w:t xml:space="preserve">bold</w:t>
      </w:r>
      <w:r>
        <w:t xml:space="preserve"> — full-width accent block behind every title</w:t>
      </w:r>
    </w:p>
    <w:p>
      <w:pPr>
        <w:pStyle w:val="Normal"/>
      </w:pPr>
      <w:r>
        <w:t xml:space="preserve">Pick with </w:t>
      </w:r>
      <w:r>
        <w:rPr>
          <w:rStyle w:val="InlineCode"/>
        </w:rPr>
        <w:t xml:space="preserve">--layout NAME</w:t>
      </w:r>
      <w:r>
        <w:t xml:space="preserve"> or set </w:t>
      </w:r>
      <w:r>
        <w:rPr>
          <w:rStyle w:val="InlineCode"/>
        </w:rPr>
        <w:t xml:space="preserve">layout:</w:t>
      </w:r>
      <w:r>
        <w:t xml:space="preserve"> in front matter.</w:t>
      </w:r>
    </w:p>
    <w:p>
      <w:pPr>
        <w:pStyle w:val="Heading2"/>
      </w:pPr>
      <w:r>
        <w:t xml:space="preserve">When to use which</w:t>
      </w:r>
    </w:p>
    <w:p>
      <w:pPr>
        <w:pStyle w:val="Normal"/>
      </w:pPr>
      <w:r>
        <w:rPr>
          <w:b/>
        </w:rPr>
        <w:t xml:space="preserve">clean</w:t>
      </w:r>
      <w:r>
        <w:t xml:space="preserve"> for talks where content should dominate. Minimal chrome.</w:t>
      </w:r>
    </w:p>
    <w:p>
      <w:pPr>
        <w:pStyle w:val="Normal"/>
      </w:pPr>
      <w:r>
        <w:rPr>
          <w:b/>
        </w:rPr>
        <w:t xml:space="preserve">studio</w:t>
      </w:r>
      <w:r>
        <w:t xml:space="preserve"> for editorial / design-review decks. Italics, rails, big numerals. Looks serious without being heavy.</w:t>
      </w:r>
    </w:p>
    <w:p>
      <w:pPr>
        <w:pStyle w:val="Normal"/>
      </w:pPr>
      <w:r>
        <w:rPr>
          <w:b/>
        </w:rPr>
        <w:t xml:space="preserve">frame</w:t>
      </w:r>
      <w:r>
        <w:t xml:space="preserve"> for long training and onboarding decks where a persistent reference panel helps the audience.</w:t>
      </w:r>
    </w:p>
    <w:p>
      <w:pPr>
        <w:pStyle w:val="Normal"/>
      </w:pPr>
      <w:r>
        <w:rPr>
          <w:b/>
        </w:rPr>
        <w:t xml:space="preserve">bold</w:t>
      </w:r>
      <w:r>
        <w:t xml:space="preserve"> for keynote-style events. Every section transition feels intentional. Maximum accent color.</w:t>
      </w:r>
    </w:p>
    <w:p>
      <w:pPr>
        <w:pStyle w:val="Heading1"/>
      </w:pPr>
      <w:r>
        <w:t xml:space="preserve">Themes</w:t>
      </w:r>
    </w:p>
    <w:p>
      <w:pPr>
        <w:pStyle w:val="Heading2"/>
      </w:pPr>
      <w:r>
        <w:t xml:space="preserve">Light vs dark</w:t>
      </w:r>
    </w:p>
    <w:p>
      <w:pPr>
        <w:pStyle w:val="Normal"/>
      </w:pPr>
      <w:r>
        <w:t xml:space="preserve">Two carefully-tuned palettes. Every layout supports both.</w:t>
      </w:r>
    </w:p>
    <w:p>
      <w:pPr>
        <w:pStyle w:val="Normal"/>
      </w:pPr>
      <w:r>
        <w:rPr>
          <w:b/>
        </w:rPr>
        <w:t xml:space="preserve">Light theme</w:t>
      </w:r>
    </w:p>
    <w:p>
      <w:pPr>
        <w:pStyle w:val="Normal"/>
      </w:pPr>
      <w:r>
        <w:t xml:space="preserve">White background, slate text, sky-blue accent. Reads well in bright rooms, prints cleanly.</w:t>
      </w:r>
    </w:p>
    <w:p>
      <w:pPr>
        <w:pStyle w:val="CodeBlock"/>
      </w:pPr>
      <w:r>
        <w:t xml:space="preserve">--theme light    (default)</w:t>
      </w:r>
    </w:p>
    <w:p>
      <w:pPr>
        <w:pStyle w:val="Normal"/>
      </w:pPr>
      <w:r>
        <w:rPr>
          <w:b/>
        </w:rPr>
        <w:t xml:space="preserve">Dark theme</w:t>
      </w:r>
    </w:p>
    <w:p>
      <w:pPr>
        <w:pStyle w:val="Normal"/>
      </w:pPr>
      <w:r>
        <w:t xml:space="preserve">Slate-900 background, frost-bright accent. Reads well on stage, easier on the eyes during long talks.</w:t>
      </w:r>
    </w:p>
    <w:p>
      <w:pPr>
        <w:pStyle w:val="CodeBlock"/>
      </w:pPr>
      <w:r>
        <w:t xml:space="preserve">--theme dark</w:t>
      </w:r>
    </w:p>
    <w:p>
      <w:pPr>
        <w:pStyle w:val="Heading2"/>
      </w:pPr>
      <w:r>
        <w:t xml:space="preserve">Custom palettes</w:t>
      </w:r>
    </w:p>
    <w:p>
      <w:pPr>
        <w:pStyle w:val="Normal"/>
      </w:pPr>
      <w:r>
        <w:t xml:space="preserve">For brand-specific decks, override colors, fonts, and sizes with a YAML overlay. Pass it with </w:t>
      </w:r>
      <w:r>
        <w:rPr>
          <w:rStyle w:val="InlineCode"/>
        </w:rPr>
        <w:t xml:space="preserve">--theme-file PATH</w:t>
      </w:r>
      <w:r>
        <w:t xml:space="preserve">. The overlay merges on top of whatever </w:t>
      </w:r>
      <w:r>
        <w:rPr>
          <w:rStyle w:val="InlineCode"/>
        </w:rPr>
        <w:t xml:space="preserve">--theme</w:t>
      </w:r>
      <w:r>
        <w:t xml:space="preserve"> selects (default </w:t>
      </w:r>
      <w:r>
        <w:rPr>
          <w:rStyle w:val="InlineCode"/>
        </w:rPr>
        <w:t xml:space="preserve">light</w:t>
      </w:r>
      <w:r>
        <w:t xml:space="preserve">); only the keys you set are changed.</w:t>
      </w:r>
    </w:p>
    <w:p>
      <w:pPr>
        <w:pStyle w:val="Normal"/>
      </w:pPr>
      <w:r>
        <w:rPr>
          <w:rStyle w:val="MetaLabel"/>
        </w:rPr>
        <w:t xml:space="preserve">bash</w:t>
      </w:r>
    </w:p>
    <w:p>
      <w:pPr>
        <w:pStyle w:val="CodeBlock"/>
      </w:pPr>
      <w:r>
        <w:t xml:space="preserve">md2any talk.md --theme-file brand.yaml -o talk.pdf</w:t>
      </w:r>
    </w:p>
    <w:p>
      <w:pPr>
        <w:pStyle w:val="Normal"/>
      </w:pPr>
      <w:r>
        <w:t xml:space="preserve">Hex colours accept </w:t>
      </w:r>
      <w:r>
        <w:rPr>
          <w:rStyle w:val="InlineCode"/>
        </w:rPr>
        <w:t xml:space="preserve">#RRGGBB</w:t>
      </w:r>
      <w:r>
        <w:t xml:space="preserve"> or bare </w:t>
      </w:r>
      <w:r>
        <w:rPr>
          <w:rStyle w:val="InlineCode"/>
        </w:rPr>
        <w:t xml:space="preserve">RRGGBB</w:t>
      </w:r>
      <w:r>
        <w:t xml:space="preserve">. Sizes are in hundredths of a typographic point (so </w:t>
      </w:r>
      <w:r>
        <w:rPr>
          <w:rStyle w:val="InlineCode"/>
        </w:rPr>
        <w:t xml:space="preserve">1800</w:t>
      </w:r>
      <w:r>
        <w:t xml:space="preserve"> = 18 pt). Font names must exist on the consumer's machine for PPTX/ODP/DOCX/ODT; PDF always uses bundled DejaVu and ignores font overrides.</w:t>
      </w:r>
    </w:p>
    <w:p>
      <w:pPr>
        <w:pStyle w:val="Heading2"/>
      </w:pPr>
      <w:r>
        <w:t xml:space="preserve">--theme-file — colour keys</w:t>
      </w:r>
    </w:p>
    <w:tbl>
      <w:tblPr>
        <w:tblW w:w="0" w:type="auto"/>
        <w:tblBorders>
          <w:top w:val="single" w:sz="4" w:color="CCCCCC"/>
          <w:left w:val="single" w:sz="4" w:color="CCCCCC"/>
          <w:bottom w:val="single" w:sz="4" w:color="CCCCCC"/>
          <w:right w:val="single" w:sz="4" w:color="CCCCCC"/>
          <w:insideH w:val="single" w:sz="4" w:color="EEEEEE"/>
          <w:insideV w:val="single" w:sz="4" w:color="EEEEEE"/>
        </w:tblBorders>
      </w:tblPr>
      <w:tblGrid>
        <w:gridCol w:w="2250"/>
        <w:gridCol w:w="2250"/>
        <w:gridCol w:w="2250"/>
        <w:gridCol w:w="2250"/>
      </w:tblGrid>
      <w:tr>
        <w:trPr>
          <w:tblHeader/>
        </w:trPr>
        <w:tc>
          <w:tcPr>
            <w:tcW w:w="2250" w:type="dxa"/>
            <w:shd w:val="clear" w:color="auto" w:fill="F1F5F9"/>
          </w:tcPr>
          <w:p>
            <w:pPr>
              <w:pStyle w:val="Normal"/>
            </w:pPr>
            <w:r>
              <w:rPr>
                <w:b/>
              </w:rPr>
              <w:t xml:space="preserve">Key</w:t>
            </w:r>
          </w:p>
        </w:tc>
        <w:tc>
          <w:tcPr>
            <w:tcW w:w="2250" w:type="dxa"/>
            <w:shd w:val="clear" w:color="auto" w:fill="F1F5F9"/>
          </w:tcPr>
          <w:p>
            <w:pPr>
              <w:pStyle w:val="Normal"/>
            </w:pPr>
            <w:r>
              <w:rPr>
                <w:b/>
              </w:rPr>
              <w:t xml:space="preserve">Role</w:t>
            </w:r>
          </w:p>
        </w:tc>
        <w:tc>
          <w:tcPr>
            <w:tcW w:w="2250" w:type="dxa"/>
            <w:shd w:val="clear" w:color="auto" w:fill="F1F5F9"/>
          </w:tcPr>
          <w:p>
            <w:pPr>
              <w:pStyle w:val="Normal"/>
            </w:pPr>
            <w:r>
              <w:rPr>
                <w:b/>
              </w:rPr>
              <w:t xml:space="preserve">Light default</w:t>
            </w:r>
          </w:p>
        </w:tc>
        <w:tc>
          <w:tcPr>
            <w:tcW w:w="2250" w:type="dxa"/>
            <w:shd w:val="clear" w:color="auto" w:fill="F1F5F9"/>
          </w:tcPr>
          <w:p>
            <w:pPr>
              <w:pStyle w:val="Normal"/>
            </w:pPr>
            <w:r>
              <w:rPr>
                <w:b/>
              </w:rPr>
              <w:t xml:space="preserve">Dark default</w:t>
            </w:r>
          </w:p>
        </w:tc>
      </w:tr>
      <w:tr>
        <w:tc>
          <w:tcPr>
            <w:tcW w:w="2250" w:type="dxa"/>
          </w:tcPr>
          <w:p>
            <w:pPr>
              <w:pStyle w:val="Normal"/>
            </w:pPr>
            <w:r>
              <w:rPr>
                <w:rStyle w:val="InlineCode"/>
              </w:rPr>
              <w:t xml:space="preserve">bg</w:t>
            </w:r>
          </w:p>
        </w:tc>
        <w:tc>
          <w:tcPr>
            <w:tcW w:w="2250" w:type="dxa"/>
          </w:tcPr>
          <w:p>
            <w:pPr>
              <w:pStyle w:val="Normal"/>
            </w:pPr>
            <w:r>
              <w:t xml:space="preserve">Slide background</w:t>
            </w:r>
          </w:p>
        </w:tc>
        <w:tc>
          <w:tcPr>
            <w:tcW w:w="2250" w:type="dxa"/>
          </w:tcPr>
          <w:p>
            <w:pPr>
              <w:pStyle w:val="Normal"/>
            </w:pPr>
            <w:r>
              <w:rPr>
                <w:rStyle w:val="InlineCode"/>
              </w:rPr>
              <w:t xml:space="preserve">#FFFFFF</w:t>
            </w:r>
          </w:p>
        </w:tc>
        <w:tc>
          <w:tcPr>
            <w:tcW w:w="2250" w:type="dxa"/>
          </w:tcPr>
          <w:p>
            <w:pPr>
              <w:pStyle w:val="Normal"/>
            </w:pPr>
            <w:r>
              <w:rPr>
                <w:rStyle w:val="InlineCode"/>
              </w:rPr>
              <w:t xml:space="preserve">#0B1220</w:t>
            </w:r>
          </w:p>
        </w:tc>
      </w:tr>
      <w:tr>
        <w:tc>
          <w:tcPr>
            <w:tcW w:w="2250" w:type="dxa"/>
          </w:tcPr>
          <w:p>
            <w:pPr>
              <w:pStyle w:val="Normal"/>
            </w:pPr>
            <w:r>
              <w:rPr>
                <w:rStyle w:val="InlineCode"/>
              </w:rPr>
              <w:t xml:space="preserve">title_color</w:t>
            </w:r>
          </w:p>
        </w:tc>
        <w:tc>
          <w:tcPr>
            <w:tcW w:w="2250" w:type="dxa"/>
          </w:tcPr>
          <w:p>
            <w:pPr>
              <w:pStyle w:val="Normal"/>
            </w:pPr>
            <w:r>
              <w:t xml:space="preserve">Slide title text</w:t>
            </w:r>
          </w:p>
        </w:tc>
        <w:tc>
          <w:tcPr>
            <w:tcW w:w="2250" w:type="dxa"/>
          </w:tcPr>
          <w:p>
            <w:pPr>
              <w:pStyle w:val="Normal"/>
            </w:pPr>
            <w:r>
              <w:rPr>
                <w:rStyle w:val="InlineCode"/>
              </w:rPr>
              <w:t xml:space="preserve">#0F172A</w:t>
            </w:r>
          </w:p>
        </w:tc>
        <w:tc>
          <w:tcPr>
            <w:tcW w:w="2250" w:type="dxa"/>
          </w:tcPr>
          <w:p>
            <w:pPr>
              <w:pStyle w:val="Normal"/>
            </w:pPr>
            <w:r>
              <w:rPr>
                <w:rStyle w:val="InlineCode"/>
              </w:rPr>
              <w:t xml:space="preserve">#F8FAFC</w:t>
            </w:r>
          </w:p>
        </w:tc>
      </w:tr>
      <w:tr>
        <w:tc>
          <w:tcPr>
            <w:tcW w:w="2250" w:type="dxa"/>
          </w:tcPr>
          <w:p>
            <w:pPr>
              <w:pStyle w:val="Normal"/>
            </w:pPr>
            <w:r>
              <w:rPr>
                <w:rStyle w:val="InlineCode"/>
              </w:rPr>
              <w:t xml:space="preserve">body_color</w:t>
            </w:r>
          </w:p>
        </w:tc>
        <w:tc>
          <w:tcPr>
            <w:tcW w:w="2250" w:type="dxa"/>
          </w:tcPr>
          <w:p>
            <w:pPr>
              <w:pStyle w:val="Normal"/>
            </w:pPr>
            <w:r>
              <w:t xml:space="preserve">Body / paragraph text</w:t>
            </w:r>
          </w:p>
        </w:tc>
        <w:tc>
          <w:tcPr>
            <w:tcW w:w="2250" w:type="dxa"/>
          </w:tcPr>
          <w:p>
            <w:pPr>
              <w:pStyle w:val="Normal"/>
            </w:pPr>
            <w:r>
              <w:rPr>
                <w:rStyle w:val="InlineCode"/>
              </w:rPr>
              <w:t xml:space="preserve">#334155</w:t>
            </w:r>
          </w:p>
        </w:tc>
        <w:tc>
          <w:tcPr>
            <w:tcW w:w="2250" w:type="dxa"/>
          </w:tcPr>
          <w:p>
            <w:pPr>
              <w:pStyle w:val="Normal"/>
            </w:pPr>
            <w:r>
              <w:rPr>
                <w:rStyle w:val="InlineCode"/>
              </w:rPr>
              <w:t xml:space="preserve">#CBD5E1</w:t>
            </w:r>
          </w:p>
        </w:tc>
      </w:tr>
      <w:tr>
        <w:tc>
          <w:tcPr>
            <w:tcW w:w="2250" w:type="dxa"/>
          </w:tcPr>
          <w:p>
            <w:pPr>
              <w:pStyle w:val="Normal"/>
            </w:pPr>
            <w:r>
              <w:rPr>
                <w:rStyle w:val="InlineCode"/>
              </w:rPr>
              <w:t xml:space="preserve">muted_color</w:t>
            </w:r>
          </w:p>
        </w:tc>
        <w:tc>
          <w:tcPr>
            <w:tcW w:w="2250" w:type="dxa"/>
          </w:tcPr>
          <w:p>
            <w:pPr>
              <w:pStyle w:val="Normal"/>
            </w:pPr>
            <w:r>
              <w:t xml:space="preserve">Footer, captions, slide number</w:t>
            </w:r>
          </w:p>
        </w:tc>
        <w:tc>
          <w:tcPr>
            <w:tcW w:w="2250" w:type="dxa"/>
          </w:tcPr>
          <w:p>
            <w:pPr>
              <w:pStyle w:val="Normal"/>
            </w:pPr>
            <w:r>
              <w:rPr>
                <w:rStyle w:val="InlineCode"/>
              </w:rPr>
              <w:t xml:space="preserve">#94A3B8</w:t>
            </w:r>
          </w:p>
        </w:tc>
        <w:tc>
          <w:tcPr>
            <w:tcW w:w="2250" w:type="dxa"/>
          </w:tcPr>
          <w:p>
            <w:pPr>
              <w:pStyle w:val="Normal"/>
            </w:pPr>
            <w:r>
              <w:rPr>
                <w:rStyle w:val="InlineCode"/>
              </w:rPr>
              <w:t xml:space="preserve">#64748B</w:t>
            </w:r>
          </w:p>
        </w:tc>
      </w:tr>
      <w:tr>
        <w:tc>
          <w:tcPr>
            <w:tcW w:w="2250" w:type="dxa"/>
          </w:tcPr>
          <w:p>
            <w:pPr>
              <w:pStyle w:val="Normal"/>
            </w:pPr>
            <w:r>
              <w:rPr>
                <w:rStyle w:val="InlineCode"/>
              </w:rPr>
              <w:t xml:space="preserve">accent</w:t>
            </w:r>
          </w:p>
        </w:tc>
        <w:tc>
          <w:tcPr>
            <w:tcW w:w="2250" w:type="dxa"/>
          </w:tcPr>
          <w:p>
            <w:pPr>
              <w:pStyle w:val="Normal"/>
            </w:pPr>
            <w:r>
              <w:t xml:space="preserve">Underline bar, links, ✓ markers</w:t>
            </w:r>
          </w:p>
        </w:tc>
        <w:tc>
          <w:tcPr>
            <w:tcW w:w="2250" w:type="dxa"/>
          </w:tcPr>
          <w:p>
            <w:pPr>
              <w:pStyle w:val="Normal"/>
            </w:pPr>
            <w:r>
              <w:rPr>
                <w:rStyle w:val="InlineCode"/>
              </w:rPr>
              <w:t xml:space="preserve">#0EA5E9</w:t>
            </w:r>
          </w:p>
        </w:tc>
        <w:tc>
          <w:tcPr>
            <w:tcW w:w="2250" w:type="dxa"/>
          </w:tcPr>
          <w:p>
            <w:pPr>
              <w:pStyle w:val="Normal"/>
            </w:pPr>
            <w:r>
              <w:rPr>
                <w:rStyle w:val="InlineCode"/>
              </w:rPr>
              <w:t xml:space="preserve">#38BDF8</w:t>
            </w:r>
          </w:p>
        </w:tc>
      </w:tr>
      <w:tr>
        <w:tc>
          <w:tcPr>
            <w:tcW w:w="2250" w:type="dxa"/>
          </w:tcPr>
          <w:p>
            <w:pPr>
              <w:pStyle w:val="Normal"/>
            </w:pPr>
            <w:r>
              <w:rPr>
                <w:rStyle w:val="InlineCode"/>
              </w:rPr>
              <w:t xml:space="preserve">accent_soft</w:t>
            </w:r>
          </w:p>
        </w:tc>
        <w:tc>
          <w:tcPr>
            <w:tcW w:w="2250" w:type="dxa"/>
          </w:tcPr>
          <w:p>
            <w:pPr>
              <w:pStyle w:val="Normal"/>
            </w:pPr>
            <w:r>
              <w:t xml:space="preserve">Tag chips, code-fence label bg</w:t>
            </w:r>
          </w:p>
        </w:tc>
        <w:tc>
          <w:tcPr>
            <w:tcW w:w="2250" w:type="dxa"/>
          </w:tcPr>
          <w:p>
            <w:pPr>
              <w:pStyle w:val="Normal"/>
            </w:pPr>
            <w:r>
              <w:rPr>
                <w:rStyle w:val="InlineCode"/>
              </w:rPr>
              <w:t xml:space="preserve">#E0F2FE</w:t>
            </w:r>
          </w:p>
        </w:tc>
        <w:tc>
          <w:tcPr>
            <w:tcW w:w="2250" w:type="dxa"/>
          </w:tcPr>
          <w:p>
            <w:pPr>
              <w:pStyle w:val="Normal"/>
            </w:pPr>
            <w:r>
              <w:rPr>
                <w:rStyle w:val="InlineCode"/>
              </w:rPr>
              <w:t xml:space="preserve">#0C4A6E</w:t>
            </w:r>
          </w:p>
        </w:tc>
      </w:tr>
      <w:tr>
        <w:tc>
          <w:tcPr>
            <w:tcW w:w="2250" w:type="dxa"/>
          </w:tcPr>
          <w:p>
            <w:pPr>
              <w:pStyle w:val="Normal"/>
            </w:pPr>
            <w:r>
              <w:rPr>
                <w:rStyle w:val="InlineCode"/>
              </w:rPr>
              <w:t xml:space="preserve">divider</w:t>
            </w:r>
          </w:p>
        </w:tc>
        <w:tc>
          <w:tcPr>
            <w:tcW w:w="2250" w:type="dxa"/>
          </w:tcPr>
          <w:p>
            <w:pPr>
              <w:pStyle w:val="Normal"/>
            </w:pPr>
            <w:r>
              <w:t xml:space="preserve">Hairline rule under titles</w:t>
            </w:r>
          </w:p>
        </w:tc>
        <w:tc>
          <w:tcPr>
            <w:tcW w:w="2250" w:type="dxa"/>
          </w:tcPr>
          <w:p>
            <w:pPr>
              <w:pStyle w:val="Normal"/>
            </w:pPr>
            <w:r>
              <w:rPr>
                <w:rStyle w:val="InlineCode"/>
              </w:rPr>
              <w:t xml:space="preserve">#E2E8F0</w:t>
            </w:r>
          </w:p>
        </w:tc>
        <w:tc>
          <w:tcPr>
            <w:tcW w:w="2250" w:type="dxa"/>
          </w:tcPr>
          <w:p>
            <w:pPr>
              <w:pStyle w:val="Normal"/>
            </w:pPr>
            <w:r>
              <w:rPr>
                <w:rStyle w:val="InlineCode"/>
              </w:rPr>
              <w:t xml:space="preserve">#1E293B</w:t>
            </w:r>
          </w:p>
        </w:tc>
      </w:tr>
      <w:tr>
        <w:tc>
          <w:tcPr>
            <w:tcW w:w="2250" w:type="dxa"/>
          </w:tcPr>
          <w:p>
            <w:pPr>
              <w:pStyle w:val="Normal"/>
            </w:pPr>
            <w:r>
              <w:rPr>
                <w:rStyle w:val="InlineCode"/>
              </w:rPr>
              <w:t xml:space="preserve">code_bg</w:t>
            </w:r>
          </w:p>
        </w:tc>
        <w:tc>
          <w:tcPr>
            <w:tcW w:w="2250" w:type="dxa"/>
          </w:tcPr>
          <w:p>
            <w:pPr>
              <w:pStyle w:val="Normal"/>
            </w:pPr>
            <w:r>
              <w:t xml:space="preserve">Code block fill</w:t>
            </w:r>
          </w:p>
        </w:tc>
        <w:tc>
          <w:tcPr>
            <w:tcW w:w="2250" w:type="dxa"/>
          </w:tcPr>
          <w:p>
            <w:pPr>
              <w:pStyle w:val="Normal"/>
            </w:pPr>
            <w:r>
              <w:rPr>
                <w:rStyle w:val="InlineCode"/>
              </w:rPr>
              <w:t xml:space="preserve">#F1F5F9</w:t>
            </w:r>
          </w:p>
        </w:tc>
        <w:tc>
          <w:tcPr>
            <w:tcW w:w="2250" w:type="dxa"/>
          </w:tcPr>
          <w:p>
            <w:pPr>
              <w:pStyle w:val="Normal"/>
            </w:pPr>
            <w:r>
              <w:rPr>
                <w:rStyle w:val="InlineCode"/>
              </w:rPr>
              <w:t xml:space="preserve">#111A2E</w:t>
            </w:r>
          </w:p>
        </w:tc>
      </w:tr>
      <w:tr>
        <w:tc>
          <w:tcPr>
            <w:tcW w:w="2250" w:type="dxa"/>
          </w:tcPr>
          <w:p>
            <w:pPr>
              <w:pStyle w:val="Normal"/>
            </w:pPr>
            <w:r>
              <w:rPr>
                <w:rStyle w:val="InlineCode"/>
              </w:rPr>
              <w:t xml:space="preserve">code_text</w:t>
            </w:r>
          </w:p>
        </w:tc>
        <w:tc>
          <w:tcPr>
            <w:tcW w:w="2250" w:type="dxa"/>
          </w:tcPr>
          <w:p>
            <w:pPr>
              <w:pStyle w:val="Normal"/>
            </w:pPr>
            <w:r>
              <w:t xml:space="preserve">Code text (when not tokenised)</w:t>
            </w:r>
          </w:p>
        </w:tc>
        <w:tc>
          <w:tcPr>
            <w:tcW w:w="2250" w:type="dxa"/>
          </w:tcPr>
          <w:p>
            <w:pPr>
              <w:pStyle w:val="Normal"/>
            </w:pPr>
            <w:r>
              <w:rPr>
                <w:rStyle w:val="InlineCode"/>
              </w:rPr>
              <w:t xml:space="preserve">#1E293B</w:t>
            </w:r>
          </w:p>
        </w:tc>
        <w:tc>
          <w:tcPr>
            <w:tcW w:w="2250" w:type="dxa"/>
          </w:tcPr>
          <w:p>
            <w:pPr>
              <w:pStyle w:val="Normal"/>
            </w:pPr>
            <w:r>
              <w:rPr>
                <w:rStyle w:val="InlineCode"/>
              </w:rPr>
              <w:t xml:space="preserve">#E2E8F0</w:t>
            </w:r>
          </w:p>
        </w:tc>
      </w:tr>
    </w:tbl>
    <w:p>
      <w:pPr>
        <w:pStyle w:val="Heading2"/>
      </w:pPr>
      <w:r>
        <w:t xml:space="preserve">--theme-file — colour keys</w:t>
      </w:r>
    </w:p>
    <w:tbl>
      <w:tblPr>
        <w:tblW w:w="0" w:type="auto"/>
        <w:tblBorders>
          <w:top w:val="single" w:sz="4" w:color="CCCCCC"/>
          <w:left w:val="single" w:sz="4" w:color="CCCCCC"/>
          <w:bottom w:val="single" w:sz="4" w:color="CCCCCC"/>
          <w:right w:val="single" w:sz="4" w:color="CCCCCC"/>
          <w:insideH w:val="single" w:sz="4" w:color="EEEEEE"/>
          <w:insideV w:val="single" w:sz="4" w:color="EEEEEE"/>
        </w:tblBorders>
      </w:tblPr>
      <w:tblGrid>
        <w:gridCol w:w="2250"/>
        <w:gridCol w:w="2250"/>
        <w:gridCol w:w="2250"/>
        <w:gridCol w:w="2250"/>
      </w:tblGrid>
      <w:tr>
        <w:trPr>
          <w:tblHeader/>
        </w:trPr>
        <w:tc>
          <w:tcPr>
            <w:tcW w:w="2250" w:type="dxa"/>
            <w:shd w:val="clear" w:color="auto" w:fill="F1F5F9"/>
          </w:tcPr>
          <w:p>
            <w:pPr>
              <w:pStyle w:val="Normal"/>
            </w:pPr>
            <w:r>
              <w:rPr>
                <w:b/>
              </w:rPr>
              <w:t xml:space="preserve">Key</w:t>
            </w:r>
          </w:p>
        </w:tc>
        <w:tc>
          <w:tcPr>
            <w:tcW w:w="2250" w:type="dxa"/>
            <w:shd w:val="clear" w:color="auto" w:fill="F1F5F9"/>
          </w:tcPr>
          <w:p>
            <w:pPr>
              <w:pStyle w:val="Normal"/>
            </w:pPr>
            <w:r>
              <w:rPr>
                <w:b/>
              </w:rPr>
              <w:t xml:space="preserve">Role</w:t>
            </w:r>
          </w:p>
        </w:tc>
        <w:tc>
          <w:tcPr>
            <w:tcW w:w="2250" w:type="dxa"/>
            <w:shd w:val="clear" w:color="auto" w:fill="F1F5F9"/>
          </w:tcPr>
          <w:p>
            <w:pPr>
              <w:pStyle w:val="Normal"/>
            </w:pPr>
            <w:r>
              <w:rPr>
                <w:b/>
              </w:rPr>
              <w:t xml:space="preserve">Light default</w:t>
            </w:r>
          </w:p>
        </w:tc>
        <w:tc>
          <w:tcPr>
            <w:tcW w:w="2250" w:type="dxa"/>
            <w:shd w:val="clear" w:color="auto" w:fill="F1F5F9"/>
          </w:tcPr>
          <w:p>
            <w:pPr>
              <w:pStyle w:val="Normal"/>
            </w:pPr>
            <w:r>
              <w:rPr>
                <w:b/>
              </w:rPr>
              <w:t xml:space="preserve">Dark default</w:t>
            </w:r>
          </w:p>
        </w:tc>
      </w:tr>
      <w:tr>
        <w:tc>
          <w:tcPr>
            <w:tcW w:w="2250" w:type="dxa"/>
          </w:tcPr>
          <w:p>
            <w:pPr>
              <w:pStyle w:val="Normal"/>
            </w:pPr>
            <w:r>
              <w:rPr>
                <w:rStyle w:val="InlineCode"/>
              </w:rPr>
              <w:t xml:space="preserve">code_accent</w:t>
            </w:r>
          </w:p>
        </w:tc>
        <w:tc>
          <w:tcPr>
            <w:tcW w:w="2250" w:type="dxa"/>
          </w:tcPr>
          <w:p>
            <w:pPr>
              <w:pStyle w:val="Normal"/>
            </w:pPr>
            <w:r>
              <w:t xml:space="preserve">Inline </w:t>
            </w:r>
            <w:r>
              <w:rPr>
                <w:rStyle w:val="InlineCode"/>
              </w:rPr>
              <w:t xml:space="preserve">code</w:t>
            </w:r>
            <w:r>
              <w:t xml:space="preserve"> text</w:t>
            </w:r>
          </w:p>
        </w:tc>
        <w:tc>
          <w:tcPr>
            <w:tcW w:w="2250" w:type="dxa"/>
          </w:tcPr>
          <w:p>
            <w:pPr>
              <w:pStyle w:val="Normal"/>
            </w:pPr>
            <w:r>
              <w:rPr>
                <w:rStyle w:val="InlineCode"/>
              </w:rPr>
              <w:t xml:space="preserve">#0369A1</w:t>
            </w:r>
          </w:p>
        </w:tc>
        <w:tc>
          <w:tcPr>
            <w:tcW w:w="2250" w:type="dxa"/>
          </w:tcPr>
          <w:p>
            <w:pPr>
              <w:pStyle w:val="Normal"/>
            </w:pPr>
            <w:r>
              <w:rPr>
                <w:rStyle w:val="InlineCode"/>
              </w:rPr>
              <w:t xml:space="preserve">#7DD3FC</w:t>
            </w:r>
          </w:p>
        </w:tc>
      </w:tr>
      <w:tr>
        <w:tc>
          <w:tcPr>
            <w:tcW w:w="2250" w:type="dxa"/>
          </w:tcPr>
          <w:p>
            <w:pPr>
              <w:pStyle w:val="Normal"/>
            </w:pPr>
            <w:r>
              <w:rPr>
                <w:rStyle w:val="InlineCode"/>
              </w:rPr>
              <w:t xml:space="preserve">section_bg</w:t>
            </w:r>
          </w:p>
        </w:tc>
        <w:tc>
          <w:tcPr>
            <w:tcW w:w="2250" w:type="dxa"/>
          </w:tcPr>
          <w:p>
            <w:pPr>
              <w:pStyle w:val="Normal"/>
            </w:pPr>
            <w:r>
              <w:t xml:space="preserve">Section-divider slide fill</w:t>
            </w:r>
          </w:p>
        </w:tc>
        <w:tc>
          <w:tcPr>
            <w:tcW w:w="2250" w:type="dxa"/>
          </w:tcPr>
          <w:p>
            <w:pPr>
              <w:pStyle w:val="Normal"/>
            </w:pPr>
            <w:r>
              <w:rPr>
                <w:rStyle w:val="InlineCode"/>
              </w:rPr>
              <w:t xml:space="preserve">#0F172A</w:t>
            </w:r>
          </w:p>
        </w:tc>
        <w:tc>
          <w:tcPr>
            <w:tcW w:w="2250" w:type="dxa"/>
          </w:tcPr>
          <w:p>
            <w:pPr>
              <w:pStyle w:val="Normal"/>
            </w:pPr>
            <w:r>
              <w:rPr>
                <w:rStyle w:val="InlineCode"/>
              </w:rPr>
              <w:t xml:space="preserve">#0EA5E9</w:t>
            </w:r>
          </w:p>
        </w:tc>
      </w:tr>
      <w:tr>
        <w:tc>
          <w:tcPr>
            <w:tcW w:w="2250" w:type="dxa"/>
          </w:tcPr>
          <w:p>
            <w:pPr>
              <w:pStyle w:val="Normal"/>
            </w:pPr>
            <w:r>
              <w:rPr>
                <w:rStyle w:val="InlineCode"/>
              </w:rPr>
              <w:t xml:space="preserve">section_text</w:t>
            </w:r>
          </w:p>
        </w:tc>
        <w:tc>
          <w:tcPr>
            <w:tcW w:w="2250" w:type="dxa"/>
          </w:tcPr>
          <w:p>
            <w:pPr>
              <w:pStyle w:val="Normal"/>
            </w:pPr>
            <w:r>
              <w:t xml:space="preserve">Section-divider slide text</w:t>
            </w:r>
          </w:p>
        </w:tc>
        <w:tc>
          <w:tcPr>
            <w:tcW w:w="2250" w:type="dxa"/>
          </w:tcPr>
          <w:p>
            <w:pPr>
              <w:pStyle w:val="Normal"/>
            </w:pPr>
            <w:r>
              <w:rPr>
                <w:rStyle w:val="InlineCode"/>
              </w:rPr>
              <w:t xml:space="preserve">#F8FAFC</w:t>
            </w:r>
          </w:p>
        </w:tc>
        <w:tc>
          <w:tcPr>
            <w:tcW w:w="2250" w:type="dxa"/>
          </w:tcPr>
          <w:p>
            <w:pPr>
              <w:pStyle w:val="Normal"/>
            </w:pPr>
            <w:r>
              <w:rPr>
                <w:rStyle w:val="InlineCode"/>
              </w:rPr>
              <w:t xml:space="preserve">#FFFFFF</w:t>
            </w:r>
          </w:p>
        </w:tc>
      </w:tr>
      <w:tr>
        <w:tc>
          <w:tcPr>
            <w:tcW w:w="2250" w:type="dxa"/>
          </w:tcPr>
          <w:p>
            <w:pPr>
              <w:pStyle w:val="Normal"/>
            </w:pPr>
            <w:r>
              <w:rPr>
                <w:rStyle w:val="InlineCode"/>
              </w:rPr>
              <w:t xml:space="preserve">link</w:t>
            </w:r>
          </w:p>
        </w:tc>
        <w:tc>
          <w:tcPr>
            <w:tcW w:w="2250" w:type="dxa"/>
          </w:tcPr>
          <w:p>
            <w:pPr>
              <w:pStyle w:val="Normal"/>
            </w:pPr>
            <w:r>
              <w:t xml:space="preserve">Hyperlink text</w:t>
            </w:r>
          </w:p>
        </w:tc>
        <w:tc>
          <w:tcPr>
            <w:tcW w:w="2250" w:type="dxa"/>
          </w:tcPr>
          <w:p>
            <w:pPr>
              <w:pStyle w:val="Normal"/>
            </w:pPr>
            <w:r>
              <w:rPr>
                <w:rStyle w:val="InlineCode"/>
              </w:rPr>
              <w:t xml:space="preserve">#0EA5E9</w:t>
            </w:r>
          </w:p>
        </w:tc>
        <w:tc>
          <w:tcPr>
            <w:tcW w:w="2250" w:type="dxa"/>
          </w:tcPr>
          <w:p>
            <w:pPr>
              <w:pStyle w:val="Normal"/>
            </w:pPr>
            <w:r>
              <w:rPr>
                <w:rStyle w:val="InlineCode"/>
              </w:rPr>
              <w:t xml:space="preserve">#7DD3FC</w:t>
            </w:r>
          </w:p>
        </w:tc>
      </w:tr>
      <w:tr>
        <w:tc>
          <w:tcPr>
            <w:tcW w:w="2250" w:type="dxa"/>
          </w:tcPr>
          <w:p>
            <w:pPr>
              <w:pStyle w:val="Normal"/>
            </w:pPr>
            <w:r>
              <w:rPr>
                <w:rStyle w:val="InlineCode"/>
              </w:rPr>
              <w:t xml:space="preserve">on_accent</w:t>
            </w:r>
          </w:p>
        </w:tc>
        <w:tc>
          <w:tcPr>
            <w:tcW w:w="2250" w:type="dxa"/>
          </w:tcPr>
          <w:p>
            <w:pPr>
              <w:pStyle w:val="Normal"/>
            </w:pPr>
            <w:r>
              <w:t xml:space="preserve">Text drawn over </w:t>
            </w:r>
            <w:r>
              <w:rPr>
                <w:rStyle w:val="InlineCode"/>
              </w:rPr>
              <w:t xml:space="preserve">accent</w:t>
            </w:r>
          </w:p>
        </w:tc>
        <w:tc>
          <w:tcPr>
            <w:tcW w:w="2250" w:type="dxa"/>
          </w:tcPr>
          <w:p>
            <w:pPr>
              <w:pStyle w:val="Normal"/>
            </w:pPr>
            <w:r>
              <w:rPr>
                <w:rStyle w:val="InlineCode"/>
              </w:rPr>
              <w:t xml:space="preserve">#FFFFFF</w:t>
            </w:r>
          </w:p>
        </w:tc>
        <w:tc>
          <w:tcPr>
            <w:tcW w:w="2250" w:type="dxa"/>
          </w:tcPr>
          <w:p>
            <w:pPr>
              <w:pStyle w:val="Normal"/>
            </w:pPr>
            <w:r>
              <w:rPr>
                <w:rStyle w:val="InlineCode"/>
              </w:rPr>
              <w:t xml:space="preserve">#0B1220</w:t>
            </w:r>
          </w:p>
        </w:tc>
      </w:tr>
    </w:tbl>
    <w:p>
      <w:pPr>
        <w:pStyle w:val="Heading2"/>
      </w:pPr>
      <w:r>
        <w:t xml:space="preserve">--theme-file — fonts and sizes</w:t>
      </w:r>
    </w:p>
    <w:tbl>
      <w:tblPr>
        <w:tblW w:w="0" w:type="auto"/>
        <w:tblBorders>
          <w:top w:val="single" w:sz="4" w:color="CCCCCC"/>
          <w:left w:val="single" w:sz="4" w:color="CCCCCC"/>
          <w:bottom w:val="single" w:sz="4" w:color="CCCCCC"/>
          <w:right w:val="single" w:sz="4" w:color="CCCCCC"/>
          <w:insideH w:val="single" w:sz="4" w:color="EEEEEE"/>
          <w:insideV w:val="single" w:sz="4" w:color="EEEEEE"/>
        </w:tblBorders>
      </w:tblPr>
      <w:tblGrid>
        <w:gridCol w:w="3000"/>
        <w:gridCol w:w="3000"/>
        <w:gridCol w:w="3000"/>
      </w:tblGrid>
      <w:tr>
        <w:trPr>
          <w:tblHeader/>
        </w:trPr>
        <w:tc>
          <w:tcPr>
            <w:tcW w:w="3000" w:type="dxa"/>
            <w:shd w:val="clear" w:color="auto" w:fill="F1F5F9"/>
          </w:tcPr>
          <w:p>
            <w:pPr>
              <w:pStyle w:val="Normal"/>
            </w:pPr>
            <w:r>
              <w:rPr>
                <w:b/>
              </w:rPr>
              <w:t xml:space="preserve">Key</w:t>
            </w:r>
          </w:p>
        </w:tc>
        <w:tc>
          <w:tcPr>
            <w:tcW w:w="3000" w:type="dxa"/>
            <w:shd w:val="clear" w:color="auto" w:fill="F1F5F9"/>
          </w:tcPr>
          <w:p>
            <w:pPr>
              <w:pStyle w:val="Normal"/>
            </w:pPr>
            <w:r>
              <w:rPr>
                <w:b/>
              </w:rPr>
              <w:t xml:space="preserve">Role</w:t>
            </w:r>
          </w:p>
        </w:tc>
        <w:tc>
          <w:tcPr>
            <w:tcW w:w="3000" w:type="dxa"/>
            <w:shd w:val="clear" w:color="auto" w:fill="F1F5F9"/>
          </w:tcPr>
          <w:p>
            <w:pPr>
              <w:pStyle w:val="Normal"/>
            </w:pPr>
            <w:r>
              <w:rPr>
                <w:b/>
              </w:rPr>
              <w:t xml:space="preserve">Default (16:9)</w:t>
            </w:r>
          </w:p>
        </w:tc>
      </w:tr>
      <w:tr>
        <w:tc>
          <w:tcPr>
            <w:tcW w:w="3000" w:type="dxa"/>
          </w:tcPr>
          <w:p>
            <w:pPr>
              <w:pStyle w:val="Normal"/>
            </w:pPr>
            <w:r>
              <w:rPr>
                <w:rStyle w:val="InlineCode"/>
              </w:rPr>
              <w:t xml:space="preserve">title_font</w:t>
            </w:r>
          </w:p>
        </w:tc>
        <w:tc>
          <w:tcPr>
            <w:tcW w:w="3000" w:type="dxa"/>
          </w:tcPr>
          <w:p>
            <w:pPr>
              <w:pStyle w:val="Normal"/>
            </w:pPr>
            <w:r>
              <w:t xml:space="preserve">Title bar / heading typeface</w:t>
            </w:r>
          </w:p>
        </w:tc>
        <w:tc>
          <w:tcPr>
            <w:tcW w:w="3000" w:type="dxa"/>
          </w:tcPr>
          <w:p>
            <w:pPr>
              <w:pStyle w:val="Normal"/>
            </w:pPr>
            <w:r>
              <w:rPr>
                <w:rStyle w:val="InlineCode"/>
              </w:rPr>
              <w:t xml:space="preserve">Calibri Light</w:t>
            </w:r>
          </w:p>
        </w:tc>
      </w:tr>
      <w:tr>
        <w:tc>
          <w:tcPr>
            <w:tcW w:w="3000" w:type="dxa"/>
          </w:tcPr>
          <w:p>
            <w:pPr>
              <w:pStyle w:val="Normal"/>
            </w:pPr>
            <w:r>
              <w:rPr>
                <w:rStyle w:val="InlineCode"/>
              </w:rPr>
              <w:t xml:space="preserve">body_font</w:t>
            </w:r>
          </w:p>
        </w:tc>
        <w:tc>
          <w:tcPr>
            <w:tcW w:w="3000" w:type="dxa"/>
          </w:tcPr>
          <w:p>
            <w:pPr>
              <w:pStyle w:val="Normal"/>
            </w:pPr>
            <w:r>
              <w:t xml:space="preserve">Paragraph + list typeface</w:t>
            </w:r>
          </w:p>
        </w:tc>
        <w:tc>
          <w:tcPr>
            <w:tcW w:w="3000" w:type="dxa"/>
          </w:tcPr>
          <w:p>
            <w:pPr>
              <w:pStyle w:val="Normal"/>
            </w:pPr>
            <w:r>
              <w:rPr>
                <w:rStyle w:val="InlineCode"/>
              </w:rPr>
              <w:t xml:space="preserve">Calibri</w:t>
            </w:r>
          </w:p>
        </w:tc>
      </w:tr>
      <w:tr>
        <w:tc>
          <w:tcPr>
            <w:tcW w:w="3000" w:type="dxa"/>
          </w:tcPr>
          <w:p>
            <w:pPr>
              <w:pStyle w:val="Normal"/>
            </w:pPr>
            <w:r>
              <w:rPr>
                <w:rStyle w:val="InlineCode"/>
              </w:rPr>
              <w:t xml:space="preserve">mono_font</w:t>
            </w:r>
          </w:p>
        </w:tc>
        <w:tc>
          <w:tcPr>
            <w:tcW w:w="3000" w:type="dxa"/>
          </w:tcPr>
          <w:p>
            <w:pPr>
              <w:pStyle w:val="Normal"/>
            </w:pPr>
            <w:r>
              <w:t xml:space="preserve">Code / inline-code typeface</w:t>
            </w:r>
          </w:p>
        </w:tc>
        <w:tc>
          <w:tcPr>
            <w:tcW w:w="3000" w:type="dxa"/>
          </w:tcPr>
          <w:p>
            <w:pPr>
              <w:pStyle w:val="Normal"/>
            </w:pPr>
            <w:r>
              <w:rPr>
                <w:rStyle w:val="InlineCode"/>
              </w:rPr>
              <w:t xml:space="preserve">Consolas</w:t>
            </w:r>
          </w:p>
        </w:tc>
      </w:tr>
      <w:tr>
        <w:tc>
          <w:tcPr>
            <w:tcW w:w="3000" w:type="dxa"/>
          </w:tcPr>
          <w:p>
            <w:pPr>
              <w:pStyle w:val="Normal"/>
            </w:pPr>
            <w:r>
              <w:rPr>
                <w:rStyle w:val="InlineCode"/>
              </w:rPr>
              <w:t xml:space="preserve">title_size</w:t>
            </w:r>
          </w:p>
        </w:tc>
        <w:tc>
          <w:tcPr>
            <w:tcW w:w="3000" w:type="dxa"/>
          </w:tcPr>
          <w:p>
            <w:pPr>
              <w:pStyle w:val="Normal"/>
            </w:pPr>
            <w:r>
              <w:t xml:space="preserve">Title size, hundredths of pt</w:t>
            </w:r>
          </w:p>
        </w:tc>
        <w:tc>
          <w:tcPr>
            <w:tcW w:w="3000" w:type="dxa"/>
          </w:tcPr>
          <w:p>
            <w:pPr>
              <w:pStyle w:val="Normal"/>
            </w:pPr>
            <w:r>
              <w:rPr>
                <w:rStyle w:val="InlineCode"/>
              </w:rPr>
              <w:t xml:space="preserve">2800</w:t>
            </w:r>
            <w:r>
              <w:t xml:space="preserve"> (28 pt)</w:t>
            </w:r>
          </w:p>
        </w:tc>
      </w:tr>
      <w:tr>
        <w:tc>
          <w:tcPr>
            <w:tcW w:w="3000" w:type="dxa"/>
          </w:tcPr>
          <w:p>
            <w:pPr>
              <w:pStyle w:val="Normal"/>
            </w:pPr>
            <w:r>
              <w:rPr>
                <w:rStyle w:val="InlineCode"/>
              </w:rPr>
              <w:t xml:space="preserve">body_size</w:t>
            </w:r>
          </w:p>
        </w:tc>
        <w:tc>
          <w:tcPr>
            <w:tcW w:w="3000" w:type="dxa"/>
          </w:tcPr>
          <w:p>
            <w:pPr>
              <w:pStyle w:val="Normal"/>
            </w:pPr>
            <w:r>
              <w:t xml:space="preserve">Body size, hundredths of pt</w:t>
            </w:r>
          </w:p>
        </w:tc>
        <w:tc>
          <w:tcPr>
            <w:tcW w:w="3000" w:type="dxa"/>
          </w:tcPr>
          <w:p>
            <w:pPr>
              <w:pStyle w:val="Normal"/>
            </w:pPr>
            <w:r>
              <w:rPr>
                <w:rStyle w:val="InlineCode"/>
              </w:rPr>
              <w:t xml:space="preserve">1800</w:t>
            </w:r>
            <w:r>
              <w:t xml:space="preserve"> (18 pt)</w:t>
            </w:r>
          </w:p>
        </w:tc>
      </w:tr>
      <w:tr>
        <w:tc>
          <w:tcPr>
            <w:tcW w:w="3000" w:type="dxa"/>
          </w:tcPr>
          <w:p>
            <w:pPr>
              <w:pStyle w:val="Normal"/>
            </w:pPr>
            <w:r>
              <w:rPr>
                <w:rStyle w:val="InlineCode"/>
              </w:rPr>
              <w:t xml:space="preserve">code_size</w:t>
            </w:r>
          </w:p>
        </w:tc>
        <w:tc>
          <w:tcPr>
            <w:tcW w:w="3000" w:type="dxa"/>
          </w:tcPr>
          <w:p>
            <w:pPr>
              <w:pStyle w:val="Normal"/>
            </w:pPr>
            <w:r>
              <w:t xml:space="preserve">Code-block size, hundredths of pt</w:t>
            </w:r>
          </w:p>
        </w:tc>
        <w:tc>
          <w:tcPr>
            <w:tcW w:w="3000" w:type="dxa"/>
          </w:tcPr>
          <w:p>
            <w:pPr>
              <w:pStyle w:val="Normal"/>
            </w:pPr>
            <w:r>
              <w:rPr>
                <w:rStyle w:val="InlineCode"/>
              </w:rPr>
              <w:t xml:space="preserve">1500</w:t>
            </w:r>
            <w:r>
              <w:t xml:space="preserve"> (15 pt)</w:t>
            </w:r>
          </w:p>
        </w:tc>
      </w:tr>
      <w:tr>
        <w:tc>
          <w:tcPr>
            <w:tcW w:w="3000" w:type="dxa"/>
          </w:tcPr>
          <w:p>
            <w:pPr>
              <w:pStyle w:val="Normal"/>
            </w:pPr>
            <w:r>
              <w:rPr>
                <w:rStyle w:val="InlineCode"/>
              </w:rPr>
              <w:t xml:space="preserve">hero_size</w:t>
            </w:r>
          </w:p>
        </w:tc>
        <w:tc>
          <w:tcPr>
            <w:tcW w:w="3000" w:type="dxa"/>
          </w:tcPr>
          <w:p>
            <w:pPr>
              <w:pStyle w:val="Normal"/>
            </w:pPr>
            <w:r>
              <w:t xml:space="preserve">Title-slide hero text, hundredths</w:t>
            </w:r>
          </w:p>
        </w:tc>
        <w:tc>
          <w:tcPr>
            <w:tcW w:w="3000" w:type="dxa"/>
          </w:tcPr>
          <w:p>
            <w:pPr>
              <w:pStyle w:val="Normal"/>
            </w:pPr>
            <w:r>
              <w:rPr>
                <w:rStyle w:val="InlineCode"/>
              </w:rPr>
              <w:t xml:space="preserve">5400</w:t>
            </w:r>
            <w:r>
              <w:t xml:space="preserve"> (54 pt)</w:t>
            </w:r>
          </w:p>
        </w:tc>
      </w:tr>
    </w:tbl>
    <w:p>
      <w:pPr>
        <w:pStyle w:val="Normal"/>
      </w:pPr>
      <w:r>
        <w:t xml:space="preserve">Portrait aspects (9:16, A4, A5, Letter) ship slightly smaller defaults: </w:t>
      </w:r>
      <w:r>
        <w:rPr>
          <w:rStyle w:val="InlineCode"/>
        </w:rPr>
        <w:t xml:space="preserve">2400 / 1700 / 1400 / 4200</w:t>
      </w:r>
      <w:r>
        <w:t xml:space="preserve">.</w:t>
      </w:r>
    </w:p>
    <w:p>
      <w:pPr>
        <w:pStyle w:val="Heading2"/>
      </w:pPr>
      <w:r>
        <w:t xml:space="preserve">--theme-file — syntax highlighting</w:t>
      </w:r>
    </w:p>
    <w:p>
      <w:pPr>
        <w:pStyle w:val="Normal"/>
      </w:pPr>
      <w:r>
        <w:t xml:space="preserve">Nested under a </w:t>
      </w:r>
      <w:r>
        <w:rPr>
          <w:rStyle w:val="InlineCode"/>
        </w:rPr>
        <w:t xml:space="preserve">syntax:</w:t>
      </w:r>
      <w:r>
        <w:t xml:space="preserve"> key. Each value is a hex colour applied to that token class across every supported language.</w:t>
      </w:r>
    </w:p>
    <w:tbl>
      <w:tblPr>
        <w:tblW w:w="0" w:type="auto"/>
        <w:tblBorders>
          <w:top w:val="single" w:sz="4" w:color="CCCCCC"/>
          <w:left w:val="single" w:sz="4" w:color="CCCCCC"/>
          <w:bottom w:val="single" w:sz="4" w:color="CCCCCC"/>
          <w:right w:val="single" w:sz="4" w:color="CCCCCC"/>
          <w:insideH w:val="single" w:sz="4" w:color="EEEEEE"/>
          <w:insideV w:val="single" w:sz="4" w:color="EEEEEE"/>
        </w:tblBorders>
      </w:tblPr>
      <w:tblGrid>
        <w:gridCol w:w="2250"/>
        <w:gridCol w:w="2250"/>
        <w:gridCol w:w="2250"/>
        <w:gridCol w:w="2250"/>
      </w:tblGrid>
      <w:tr>
        <w:trPr>
          <w:tblHeader/>
        </w:trPr>
        <w:tc>
          <w:tcPr>
            <w:tcW w:w="2250" w:type="dxa"/>
            <w:shd w:val="clear" w:color="auto" w:fill="F1F5F9"/>
          </w:tcPr>
          <w:p>
            <w:pPr>
              <w:pStyle w:val="Normal"/>
            </w:pPr>
            <w:r>
              <w:rPr>
                <w:b/>
              </w:rPr>
              <w:t xml:space="preserve">Key</w:t>
            </w:r>
          </w:p>
        </w:tc>
        <w:tc>
          <w:tcPr>
            <w:tcW w:w="2250" w:type="dxa"/>
            <w:shd w:val="clear" w:color="auto" w:fill="F1F5F9"/>
          </w:tcPr>
          <w:p>
            <w:pPr>
              <w:pStyle w:val="Normal"/>
            </w:pPr>
            <w:r>
              <w:rPr>
                <w:b/>
              </w:rPr>
              <w:t xml:space="preserve">Role</w:t>
            </w:r>
          </w:p>
        </w:tc>
        <w:tc>
          <w:tcPr>
            <w:tcW w:w="2250" w:type="dxa"/>
            <w:shd w:val="clear" w:color="auto" w:fill="F1F5F9"/>
          </w:tcPr>
          <w:p>
            <w:pPr>
              <w:pStyle w:val="Normal"/>
            </w:pPr>
            <w:r>
              <w:rPr>
                <w:b/>
              </w:rPr>
              <w:t xml:space="preserve">Light default</w:t>
            </w:r>
          </w:p>
        </w:tc>
        <w:tc>
          <w:tcPr>
            <w:tcW w:w="2250" w:type="dxa"/>
            <w:shd w:val="clear" w:color="auto" w:fill="F1F5F9"/>
          </w:tcPr>
          <w:p>
            <w:pPr>
              <w:pStyle w:val="Normal"/>
            </w:pPr>
            <w:r>
              <w:rPr>
                <w:b/>
              </w:rPr>
              <w:t xml:space="preserve">Dark default</w:t>
            </w:r>
          </w:p>
        </w:tc>
      </w:tr>
      <w:tr>
        <w:tc>
          <w:tcPr>
            <w:tcW w:w="2250" w:type="dxa"/>
          </w:tcPr>
          <w:p>
            <w:pPr>
              <w:pStyle w:val="Normal"/>
            </w:pPr>
            <w:r>
              <w:rPr>
                <w:rStyle w:val="InlineCode"/>
              </w:rPr>
              <w:t xml:space="preserve">keyword</w:t>
            </w:r>
          </w:p>
        </w:tc>
        <w:tc>
          <w:tcPr>
            <w:tcW w:w="2250" w:type="dxa"/>
          </w:tcPr>
          <w:p>
            <w:pPr>
              <w:pStyle w:val="Normal"/>
            </w:pPr>
            <w:r>
              <w:rPr>
                <w:rStyle w:val="InlineCode"/>
              </w:rPr>
              <w:t xml:space="preserve">fn</w:t>
            </w:r>
            <w:r>
              <w:t xml:space="preserve">, </w:t>
            </w:r>
            <w:r>
              <w:rPr>
                <w:rStyle w:val="InlineCode"/>
              </w:rPr>
              <w:t xml:space="preserve">class</w:t>
            </w:r>
            <w:r>
              <w:t xml:space="preserve">, </w:t>
            </w:r>
            <w:r>
              <w:rPr>
                <w:rStyle w:val="InlineCode"/>
              </w:rPr>
              <w:t xml:space="preserve">SELECT</w:t>
            </w:r>
            <w:r>
              <w:t xml:space="preserve">, etc.</w:t>
            </w:r>
          </w:p>
        </w:tc>
        <w:tc>
          <w:tcPr>
            <w:tcW w:w="2250" w:type="dxa"/>
          </w:tcPr>
          <w:p>
            <w:pPr>
              <w:pStyle w:val="Normal"/>
            </w:pPr>
            <w:r>
              <w:rPr>
                <w:rStyle w:val="InlineCode"/>
              </w:rPr>
              <w:t xml:space="preserve">#9333EA</w:t>
            </w:r>
          </w:p>
        </w:tc>
        <w:tc>
          <w:tcPr>
            <w:tcW w:w="2250" w:type="dxa"/>
          </w:tcPr>
          <w:p>
            <w:pPr>
              <w:pStyle w:val="Normal"/>
            </w:pPr>
            <w:r>
              <w:rPr>
                <w:rStyle w:val="InlineCode"/>
              </w:rPr>
              <w:t xml:space="preserve">#C792EA</w:t>
            </w:r>
          </w:p>
        </w:tc>
      </w:tr>
      <w:tr>
        <w:tc>
          <w:tcPr>
            <w:tcW w:w="2250" w:type="dxa"/>
          </w:tcPr>
          <w:p>
            <w:pPr>
              <w:pStyle w:val="Normal"/>
            </w:pPr>
            <w:r>
              <w:rPr>
                <w:rStyle w:val="InlineCode"/>
              </w:rPr>
              <w:t xml:space="preserve">string</w:t>
            </w:r>
          </w:p>
        </w:tc>
        <w:tc>
          <w:tcPr>
            <w:tcW w:w="2250" w:type="dxa"/>
          </w:tcPr>
          <w:p>
            <w:pPr>
              <w:pStyle w:val="Normal"/>
            </w:pPr>
            <w:r>
              <w:t xml:space="preserve">String + char literals</w:t>
            </w:r>
          </w:p>
        </w:tc>
        <w:tc>
          <w:tcPr>
            <w:tcW w:w="2250" w:type="dxa"/>
          </w:tcPr>
          <w:p>
            <w:pPr>
              <w:pStyle w:val="Normal"/>
            </w:pPr>
            <w:r>
              <w:rPr>
                <w:rStyle w:val="InlineCode"/>
              </w:rPr>
              <w:t xml:space="preserve">#16A34A</w:t>
            </w:r>
          </w:p>
        </w:tc>
        <w:tc>
          <w:tcPr>
            <w:tcW w:w="2250" w:type="dxa"/>
          </w:tcPr>
          <w:p>
            <w:pPr>
              <w:pStyle w:val="Normal"/>
            </w:pPr>
            <w:r>
              <w:rPr>
                <w:rStyle w:val="InlineCode"/>
              </w:rPr>
              <w:t xml:space="preserve">#C3E88D</w:t>
            </w:r>
          </w:p>
        </w:tc>
      </w:tr>
      <w:tr>
        <w:tc>
          <w:tcPr>
            <w:tcW w:w="2250" w:type="dxa"/>
          </w:tcPr>
          <w:p>
            <w:pPr>
              <w:pStyle w:val="Normal"/>
            </w:pPr>
            <w:r>
              <w:rPr>
                <w:rStyle w:val="InlineCode"/>
              </w:rPr>
              <w:t xml:space="preserve">number</w:t>
            </w:r>
          </w:p>
        </w:tc>
        <w:tc>
          <w:tcPr>
            <w:tcW w:w="2250" w:type="dxa"/>
          </w:tcPr>
          <w:p>
            <w:pPr>
              <w:pStyle w:val="Normal"/>
            </w:pPr>
            <w:r>
              <w:t xml:space="preserve">Numeric + boolean literals</w:t>
            </w:r>
          </w:p>
        </w:tc>
        <w:tc>
          <w:tcPr>
            <w:tcW w:w="2250" w:type="dxa"/>
          </w:tcPr>
          <w:p>
            <w:pPr>
              <w:pStyle w:val="Normal"/>
            </w:pPr>
            <w:r>
              <w:rPr>
                <w:rStyle w:val="InlineCode"/>
              </w:rPr>
              <w:t xml:space="preserve">#C2410C</w:t>
            </w:r>
          </w:p>
        </w:tc>
        <w:tc>
          <w:tcPr>
            <w:tcW w:w="2250" w:type="dxa"/>
          </w:tcPr>
          <w:p>
            <w:pPr>
              <w:pStyle w:val="Normal"/>
            </w:pPr>
            <w:r>
              <w:rPr>
                <w:rStyle w:val="InlineCode"/>
              </w:rPr>
              <w:t xml:space="preserve">#FFCB6B</w:t>
            </w:r>
          </w:p>
        </w:tc>
      </w:tr>
      <w:tr>
        <w:tc>
          <w:tcPr>
            <w:tcW w:w="2250" w:type="dxa"/>
          </w:tcPr>
          <w:p>
            <w:pPr>
              <w:pStyle w:val="Normal"/>
            </w:pPr>
            <w:r>
              <w:rPr>
                <w:rStyle w:val="InlineCode"/>
              </w:rPr>
              <w:t xml:space="preserve">comment</w:t>
            </w:r>
          </w:p>
        </w:tc>
        <w:tc>
          <w:tcPr>
            <w:tcW w:w="2250" w:type="dxa"/>
          </w:tcPr>
          <w:p>
            <w:pPr>
              <w:pStyle w:val="Normal"/>
            </w:pPr>
            <w:r>
              <w:t xml:space="preserve">Line + block comments</w:t>
            </w:r>
          </w:p>
        </w:tc>
        <w:tc>
          <w:tcPr>
            <w:tcW w:w="2250" w:type="dxa"/>
          </w:tcPr>
          <w:p>
            <w:pPr>
              <w:pStyle w:val="Normal"/>
            </w:pPr>
            <w:r>
              <w:rPr>
                <w:rStyle w:val="InlineCode"/>
              </w:rPr>
              <w:t xml:space="preserve">#94A3B8</w:t>
            </w:r>
          </w:p>
        </w:tc>
        <w:tc>
          <w:tcPr>
            <w:tcW w:w="2250" w:type="dxa"/>
          </w:tcPr>
          <w:p>
            <w:pPr>
              <w:pStyle w:val="Normal"/>
            </w:pPr>
            <w:r>
              <w:rPr>
                <w:rStyle w:val="InlineCode"/>
              </w:rPr>
              <w:t xml:space="preserve">#6B7B8E</w:t>
            </w:r>
          </w:p>
        </w:tc>
      </w:tr>
      <w:tr>
        <w:tc>
          <w:tcPr>
            <w:tcW w:w="2250" w:type="dxa"/>
          </w:tcPr>
          <w:p>
            <w:pPr>
              <w:pStyle w:val="Normal"/>
            </w:pPr>
            <w:r>
              <w:rPr>
                <w:rStyle w:val="InlineCode"/>
              </w:rPr>
              <w:t xml:space="preserve">function</w:t>
            </w:r>
          </w:p>
        </w:tc>
        <w:tc>
          <w:tcPr>
            <w:tcW w:w="2250" w:type="dxa"/>
          </w:tcPr>
          <w:p>
            <w:pPr>
              <w:pStyle w:val="Normal"/>
            </w:pPr>
            <w:r>
              <w:t xml:space="preserve">Function and method names</w:t>
            </w:r>
          </w:p>
        </w:tc>
        <w:tc>
          <w:tcPr>
            <w:tcW w:w="2250" w:type="dxa"/>
          </w:tcPr>
          <w:p>
            <w:pPr>
              <w:pStyle w:val="Normal"/>
            </w:pPr>
            <w:r>
              <w:rPr>
                <w:rStyle w:val="InlineCode"/>
              </w:rPr>
              <w:t xml:space="preserve">#2563EB</w:t>
            </w:r>
          </w:p>
        </w:tc>
        <w:tc>
          <w:tcPr>
            <w:tcW w:w="2250" w:type="dxa"/>
          </w:tcPr>
          <w:p>
            <w:pPr>
              <w:pStyle w:val="Normal"/>
            </w:pPr>
            <w:r>
              <w:rPr>
                <w:rStyle w:val="InlineCode"/>
              </w:rPr>
              <w:t xml:space="preserve">#82AAFF</w:t>
            </w:r>
          </w:p>
        </w:tc>
      </w:tr>
      <w:tr>
        <w:tc>
          <w:tcPr>
            <w:tcW w:w="2250" w:type="dxa"/>
          </w:tcPr>
          <w:p>
            <w:pPr>
              <w:pStyle w:val="Normal"/>
            </w:pPr>
            <w:r>
              <w:rPr>
                <w:rStyle w:val="InlineCode"/>
              </w:rPr>
              <w:t xml:space="preserve">type</w:t>
            </w:r>
          </w:p>
        </w:tc>
        <w:tc>
          <w:tcPr>
            <w:tcW w:w="2250" w:type="dxa"/>
          </w:tcPr>
          <w:p>
            <w:pPr>
              <w:pStyle w:val="Normal"/>
            </w:pPr>
            <w:r>
              <w:t xml:space="preserve">Type names, capitalised idents</w:t>
            </w:r>
          </w:p>
        </w:tc>
        <w:tc>
          <w:tcPr>
            <w:tcW w:w="2250" w:type="dxa"/>
          </w:tcPr>
          <w:p>
            <w:pPr>
              <w:pStyle w:val="Normal"/>
            </w:pPr>
            <w:r>
              <w:rPr>
                <w:rStyle w:val="InlineCode"/>
              </w:rPr>
              <w:t xml:space="preserve">#0891B2</w:t>
            </w:r>
          </w:p>
        </w:tc>
        <w:tc>
          <w:tcPr>
            <w:tcW w:w="2250" w:type="dxa"/>
          </w:tcPr>
          <w:p>
            <w:pPr>
              <w:pStyle w:val="Normal"/>
            </w:pPr>
            <w:r>
              <w:rPr>
                <w:rStyle w:val="InlineCode"/>
              </w:rPr>
              <w:t xml:space="preserve">#FFC777</w:t>
            </w:r>
          </w:p>
        </w:tc>
      </w:tr>
      <w:tr>
        <w:tc>
          <w:tcPr>
            <w:tcW w:w="2250" w:type="dxa"/>
          </w:tcPr>
          <w:p>
            <w:pPr>
              <w:pStyle w:val="Normal"/>
            </w:pPr>
            <w:r>
              <w:rPr>
                <w:rStyle w:val="InlineCode"/>
              </w:rPr>
              <w:t xml:space="preserve">attribute</w:t>
            </w:r>
          </w:p>
        </w:tc>
        <w:tc>
          <w:tcPr>
            <w:tcW w:w="2250" w:type="dxa"/>
          </w:tcPr>
          <w:p>
            <w:pPr>
              <w:pStyle w:val="Normal"/>
            </w:pPr>
            <w:r>
              <w:t xml:space="preserve">Decorators, </w:t>
            </w:r>
            <w:r>
              <w:rPr>
                <w:rStyle w:val="InlineCode"/>
              </w:rPr>
              <w:t xml:space="preserve">#[derive]</w:t>
            </w:r>
            <w:r>
              <w:t xml:space="preserve">, JSX attr</w:t>
            </w:r>
          </w:p>
        </w:tc>
        <w:tc>
          <w:tcPr>
            <w:tcW w:w="2250" w:type="dxa"/>
          </w:tcPr>
          <w:p>
            <w:pPr>
              <w:pStyle w:val="Normal"/>
            </w:pPr>
            <w:r>
              <w:rPr>
                <w:rStyle w:val="InlineCode"/>
              </w:rPr>
              <w:t xml:space="preserve">#DC2626</w:t>
            </w:r>
          </w:p>
        </w:tc>
        <w:tc>
          <w:tcPr>
            <w:tcW w:w="2250" w:type="dxa"/>
          </w:tcPr>
          <w:p>
            <w:pPr>
              <w:pStyle w:val="Normal"/>
            </w:pPr>
            <w:r>
              <w:rPr>
                <w:rStyle w:val="InlineCode"/>
              </w:rPr>
              <w:t xml:space="preserve">#F78C6C</w:t>
            </w:r>
          </w:p>
        </w:tc>
      </w:tr>
    </w:tbl>
    <w:p>
      <w:pPr>
        <w:pStyle w:val="Heading2"/>
      </w:pPr>
      <w:r>
        <w:t xml:space="preserve">--theme-file — full example</w:t>
      </w:r>
    </w:p>
    <w:p>
      <w:pPr>
        <w:pStyle w:val="Normal"/>
      </w:pPr>
      <w:r>
        <w:rPr>
          <w:rStyle w:val="MetaLabel"/>
        </w:rPr>
        <w:t xml:space="preserve">yaml</w:t>
      </w:r>
    </w:p>
    <w:p>
      <w:pPr>
        <w:pStyle w:val="CodeBlock"/>
      </w:pPr>
      <w:r>
        <w:t xml:space="preserve"># brand.yaml — a complete overlay touching every category</w:t>
      </w:r>
    </w:p>
    <w:p>
      <w:pPr>
        <w:pStyle w:val="CodeBlock"/>
      </w:pPr>
      <w:r>
        <w:t xml:space="preserve">bg:           "#FFFCF7"</w:t>
      </w:r>
    </w:p>
    <w:p>
      <w:pPr>
        <w:pStyle w:val="CodeBlock"/>
      </w:pPr>
      <w:r>
        <w:t xml:space="preserve">title_color:  "#0A0A23"</w:t>
      </w:r>
    </w:p>
    <w:p>
      <w:pPr>
        <w:pStyle w:val="CodeBlock"/>
      </w:pPr>
      <w:r>
        <w:t xml:space="preserve">body_color:   "#1F2937"</w:t>
      </w:r>
    </w:p>
    <w:p>
      <w:pPr>
        <w:pStyle w:val="CodeBlock"/>
      </w:pPr>
      <w:r>
        <w:t xml:space="preserve">muted_color:  "#9CA3AF"</w:t>
      </w:r>
    </w:p>
    <w:p>
      <w:pPr>
        <w:pStyle w:val="CodeBlock"/>
      </w:pPr>
      <w:r>
        <w:t xml:space="preserve">accent:       "#FF6B35"</w:t>
      </w:r>
    </w:p>
    <w:p>
      <w:pPr>
        <w:pStyle w:val="CodeBlock"/>
      </w:pPr>
      <w:r>
        <w:t xml:space="preserve">accent_soft:  "#FFE4D6"</w:t>
      </w:r>
    </w:p>
    <w:p>
      <w:pPr>
        <w:pStyle w:val="CodeBlock"/>
      </w:pPr>
      <w:r>
        <w:t xml:space="preserve">divider:      "#E5E0D5"</w:t>
      </w:r>
    </w:p>
    <w:p>
      <w:pPr>
        <w:pStyle w:val="CodeBlock"/>
      </w:pPr>
      <w:r>
        <w:t xml:space="preserve">code_bg:      "#F5F0E6"</w:t>
      </w:r>
    </w:p>
    <w:p>
      <w:pPr>
        <w:pStyle w:val="CodeBlock"/>
      </w:pPr>
      <w:r>
        <w:t xml:space="preserve">code_text:    "#1F2937"</w:t>
      </w:r>
    </w:p>
    <w:p>
      <w:pPr>
        <w:pStyle w:val="CodeBlock"/>
      </w:pPr>
      <w:r>
        <w:t xml:space="preserve">code_accent:  "#B8410B"</w:t>
      </w:r>
    </w:p>
    <w:p>
      <w:pPr>
        <w:pStyle w:val="CodeBlock"/>
      </w:pPr>
      <w:r>
        <w:t xml:space="preserve">section_bg:   "#0A0A23"</w:t>
      </w:r>
    </w:p>
    <w:p>
      <w:pPr>
        <w:pStyle w:val="CodeBlock"/>
      </w:pPr>
      <w:r>
        <w:t xml:space="preserve">section_text: "#FFFCF7"</w:t>
      </w:r>
    </w:p>
    <w:p>
      <w:pPr>
        <w:pStyle w:val="CodeBlock"/>
      </w:pPr>
      <w:r>
        <w:t xml:space="preserve">link:         "#B8410B"</w:t>
      </w:r>
    </w:p>
    <w:p>
      <w:pPr>
        <w:pStyle w:val="CodeBlock"/>
      </w:pPr>
      <w:r>
        <w:t xml:space="preserve">on_accent:    "#FFFCF7"</w:t>
      </w:r>
    </w:p>
    <w:p>
      <w:pPr>
        <w:pStyle w:val="CodeBlock"/>
      </w:pPr>
      <w:r>
        <w:t xml:space="preserve"/>
      </w:r>
    </w:p>
    <w:p>
      <w:pPr>
        <w:pStyle w:val="CodeBlock"/>
      </w:pPr>
      <w:r>
        <w:t xml:space="preserve">title_font: "Inter"</w:t>
      </w:r>
    </w:p>
    <w:p>
      <w:pPr>
        <w:pStyle w:val="CodeBlock"/>
      </w:pPr>
      <w:r>
        <w:t xml:space="preserve">body_font:  "Inter"</w:t>
      </w:r>
    </w:p>
    <w:p>
      <w:pPr>
        <w:pStyle w:val="Heading2"/>
      </w:pPr>
      <w:r>
        <w:t xml:space="preserve">--theme-file — full example</w:t>
      </w:r>
    </w:p>
    <w:p>
      <w:pPr>
        <w:pStyle w:val="Normal"/>
      </w:pPr>
      <w:r>
        <w:rPr>
          <w:rStyle w:val="MetaLabel"/>
        </w:rPr>
        <w:t xml:space="preserve">yaml</w:t>
      </w:r>
    </w:p>
    <w:p>
      <w:pPr>
        <w:pStyle w:val="CodeBlock"/>
      </w:pPr>
      <w:r>
        <w:t xml:space="preserve">mono_font:  "JetBrains Mono"</w:t>
      </w:r>
    </w:p>
    <w:p>
      <w:pPr>
        <w:pStyle w:val="CodeBlock"/>
      </w:pPr>
      <w:r>
        <w:t xml:space="preserve"/>
      </w:r>
    </w:p>
    <w:p>
      <w:pPr>
        <w:pStyle w:val="CodeBlock"/>
      </w:pPr>
      <w:r>
        <w:t xml:space="preserve">title_size: 3000</w:t>
      </w:r>
    </w:p>
    <w:p>
      <w:pPr>
        <w:pStyle w:val="CodeBlock"/>
      </w:pPr>
      <w:r>
        <w:t xml:space="preserve">body_size:  1900</w:t>
      </w:r>
    </w:p>
    <w:p>
      <w:pPr>
        <w:pStyle w:val="CodeBlock"/>
      </w:pPr>
      <w:r>
        <w:t xml:space="preserve">code_size:  1500</w:t>
      </w:r>
    </w:p>
    <w:p>
      <w:pPr>
        <w:pStyle w:val="CodeBlock"/>
      </w:pPr>
      <w:r>
        <w:t xml:space="preserve">hero_size:  5800</w:t>
      </w:r>
    </w:p>
    <w:p>
      <w:pPr>
        <w:pStyle w:val="CodeBlock"/>
      </w:pPr>
      <w:r>
        <w:t xml:space="preserve"/>
      </w:r>
    </w:p>
    <w:p>
      <w:pPr>
        <w:pStyle w:val="CodeBlock"/>
      </w:pPr>
      <w:r>
        <w:t xml:space="preserve">syntax:</w:t>
      </w:r>
    </w:p>
    <w:p>
      <w:pPr>
        <w:pStyle w:val="CodeBlock"/>
      </w:pPr>
      <w:r>
        <w:t xml:space="preserve">  keyword:   "#D946EF"</w:t>
      </w:r>
    </w:p>
    <w:p>
      <w:pPr>
        <w:pStyle w:val="CodeBlock"/>
      </w:pPr>
      <w:r>
        <w:t xml:space="preserve">  string:    "#15803D"</w:t>
      </w:r>
    </w:p>
    <w:p>
      <w:pPr>
        <w:pStyle w:val="CodeBlock"/>
      </w:pPr>
      <w:r>
        <w:t xml:space="preserve">  number:    "#B8410B"</w:t>
      </w:r>
    </w:p>
    <w:p>
      <w:pPr>
        <w:pStyle w:val="CodeBlock"/>
      </w:pPr>
      <w:r>
        <w:t xml:space="preserve">  comment:   "#9CA3AF"</w:t>
      </w:r>
    </w:p>
    <w:p>
      <w:pPr>
        <w:pStyle w:val="CodeBlock"/>
      </w:pPr>
      <w:r>
        <w:t xml:space="preserve">  function:  "#1D4ED8"</w:t>
      </w:r>
    </w:p>
    <w:p>
      <w:pPr>
        <w:pStyle w:val="CodeBlock"/>
      </w:pPr>
      <w:r>
        <w:t xml:space="preserve">  type:      "#0E7490"</w:t>
      </w:r>
    </w:p>
    <w:p>
      <w:pPr>
        <w:pStyle w:val="CodeBlock"/>
      </w:pPr>
      <w:r>
        <w:t xml:space="preserve">  attribute: "#BE123C"</w:t>
      </w:r>
    </w:p>
    <w:p>
      <w:pPr>
        <w:pStyle w:val="Heading2"/>
      </w:pPr>
      <w:r>
        <w:t xml:space="preserve">--theme-file — full example</w:t>
      </w:r>
    </w:p>
    <w:p>
      <w:pPr>
        <w:pStyle w:val="Normal"/>
      </w:pPr>
      <w:r>
        <w:t xml:space="preserve">Set only the keys you want to change — anything omitted inherits from the underlying </w:t>
      </w:r>
      <w:r>
        <w:rPr>
          <w:rStyle w:val="InlineCode"/>
        </w:rPr>
        <w:t xml:space="preserve">--theme</w:t>
      </w:r>
      <w:r>
        <w:t xml:space="preserve">.</w:t>
      </w:r>
    </w:p>
    <w:p>
      <w:pPr>
        <w:pStyle w:val="Heading1"/>
      </w:pPr>
      <w:r>
        <w:t xml:space="preserve">Aspect ratios</w:t>
      </w:r>
    </w:p>
    <w:p>
      <w:pPr>
        <w:pStyle w:val="Heading2"/>
      </w:pPr>
      <w:r>
        <w:t xml:space="preserve">Five flavors</w:t>
      </w:r>
    </w:p>
    <w:tbl>
      <w:tblPr>
        <w:tblW w:w="0" w:type="auto"/>
        <w:tblBorders>
          <w:top w:val="single" w:sz="4" w:color="CCCCCC"/>
          <w:left w:val="single" w:sz="4" w:color="CCCCCC"/>
          <w:bottom w:val="single" w:sz="4" w:color="CCCCCC"/>
          <w:right w:val="single" w:sz="4" w:color="CCCCCC"/>
          <w:insideH w:val="single" w:sz="4" w:color="EEEEEE"/>
          <w:insideV w:val="single" w:sz="4" w:color="EEEEEE"/>
        </w:tblBorders>
      </w:tblPr>
      <w:tblGrid>
        <w:gridCol w:w="2250"/>
        <w:gridCol w:w="2250"/>
        <w:gridCol w:w="2250"/>
        <w:gridCol w:w="2250"/>
      </w:tblGrid>
      <w:tr>
        <w:trPr>
          <w:tblHeader/>
        </w:trPr>
        <w:tc>
          <w:tcPr>
            <w:tcW w:w="2250" w:type="dxa"/>
            <w:shd w:val="clear" w:color="auto" w:fill="F1F5F9"/>
          </w:tcPr>
          <w:p>
            <w:pPr>
              <w:pStyle w:val="Normal"/>
            </w:pPr>
            <w:r>
              <w:rPr>
                <w:b/>
              </w:rPr>
              <w:t xml:space="preserve">Flag value</w:t>
            </w:r>
          </w:p>
        </w:tc>
        <w:tc>
          <w:tcPr>
            <w:tcW w:w="2250" w:type="dxa"/>
            <w:shd w:val="clear" w:color="auto" w:fill="F1F5F9"/>
          </w:tcPr>
          <w:p>
            <w:pPr>
              <w:pStyle w:val="Normal"/>
            </w:pPr>
            <w:r>
              <w:rPr>
                <w:b/>
              </w:rPr>
              <w:t xml:space="preserve">Dimensions (mm)</w:t>
            </w:r>
          </w:p>
        </w:tc>
        <w:tc>
          <w:tcPr>
            <w:tcW w:w="2250" w:type="dxa"/>
            <w:shd w:val="clear" w:color="auto" w:fill="F1F5F9"/>
          </w:tcPr>
          <w:p>
            <w:pPr>
              <w:pStyle w:val="Normal"/>
            </w:pPr>
            <w:r>
              <w:rPr>
                <w:b/>
              </w:rPr>
              <w:t xml:space="preserve">Dimensions (in)</w:t>
            </w:r>
          </w:p>
        </w:tc>
        <w:tc>
          <w:tcPr>
            <w:tcW w:w="2250" w:type="dxa"/>
            <w:shd w:val="clear" w:color="auto" w:fill="F1F5F9"/>
          </w:tcPr>
          <w:p>
            <w:pPr>
              <w:pStyle w:val="Normal"/>
            </w:pPr>
            <w:r>
              <w:rPr>
                <w:b/>
              </w:rPr>
              <w:t xml:space="preserve">Use for</w:t>
            </w:r>
          </w:p>
        </w:tc>
      </w:tr>
      <w:tr>
        <w:tc>
          <w:tcPr>
            <w:tcW w:w="2250" w:type="dxa"/>
          </w:tcPr>
          <w:p>
            <w:pPr>
              <w:pStyle w:val="Normal"/>
            </w:pPr>
            <w:r>
              <w:rPr>
                <w:rStyle w:val="InlineCode"/>
              </w:rPr>
              <w:t xml:space="preserve">16:9</w:t>
            </w:r>
          </w:p>
        </w:tc>
        <w:tc>
          <w:tcPr>
            <w:tcW w:w="2250" w:type="dxa"/>
          </w:tcPr>
          <w:p>
            <w:pPr>
              <w:pStyle w:val="Normal"/>
            </w:pPr>
            <w:r>
              <w:t xml:space="preserve">338.7 × 190.5 mm</w:t>
            </w:r>
          </w:p>
        </w:tc>
        <w:tc>
          <w:tcPr>
            <w:tcW w:w="2250" w:type="dxa"/>
          </w:tcPr>
          <w:p>
            <w:pPr>
              <w:pStyle w:val="Normal"/>
            </w:pPr>
            <w:r>
              <w:t xml:space="preserve">13.33″ × 7.5″</w:t>
            </w:r>
          </w:p>
        </w:tc>
        <w:tc>
          <w:tcPr>
            <w:tcW w:w="2250" w:type="dxa"/>
          </w:tcPr>
          <w:p>
            <w:pPr>
              <w:pStyle w:val="Normal"/>
            </w:pPr>
            <w:r>
              <w:t xml:space="preserve">Modern projectors and screens (default)</w:t>
            </w:r>
          </w:p>
        </w:tc>
      </w:tr>
      <w:tr>
        <w:tc>
          <w:tcPr>
            <w:tcW w:w="2250" w:type="dxa"/>
          </w:tcPr>
          <w:p>
            <w:pPr>
              <w:pStyle w:val="Normal"/>
            </w:pPr>
            <w:r>
              <w:rPr>
                <w:rStyle w:val="InlineCode"/>
              </w:rPr>
              <w:t xml:space="preserve">4:3</w:t>
            </w:r>
          </w:p>
        </w:tc>
        <w:tc>
          <w:tcPr>
            <w:tcW w:w="2250" w:type="dxa"/>
          </w:tcPr>
          <w:p>
            <w:pPr>
              <w:pStyle w:val="Normal"/>
            </w:pPr>
            <w:r>
              <w:t xml:space="preserve">254 × 190.5 mm</w:t>
            </w:r>
          </w:p>
        </w:tc>
        <w:tc>
          <w:tcPr>
            <w:tcW w:w="2250" w:type="dxa"/>
          </w:tcPr>
          <w:p>
            <w:pPr>
              <w:pStyle w:val="Normal"/>
            </w:pPr>
            <w:r>
              <w:t xml:space="preserve">10″ × 7.5″</w:t>
            </w:r>
          </w:p>
        </w:tc>
        <w:tc>
          <w:tcPr>
            <w:tcW w:w="2250" w:type="dxa"/>
          </w:tcPr>
          <w:p>
            <w:pPr>
              <w:pStyle w:val="Normal"/>
            </w:pPr>
            <w:r>
              <w:t xml:space="preserve">Legacy projectors</w:t>
            </w:r>
          </w:p>
        </w:tc>
      </w:tr>
      <w:tr>
        <w:tc>
          <w:tcPr>
            <w:tcW w:w="2250" w:type="dxa"/>
          </w:tcPr>
          <w:p>
            <w:pPr>
              <w:pStyle w:val="Normal"/>
            </w:pPr>
            <w:r>
              <w:rPr>
                <w:rStyle w:val="InlineCode"/>
              </w:rPr>
              <w:t xml:space="preserve">9:16</w:t>
            </w:r>
          </w:p>
        </w:tc>
        <w:tc>
          <w:tcPr>
            <w:tcW w:w="2250" w:type="dxa"/>
          </w:tcPr>
          <w:p>
            <w:pPr>
              <w:pStyle w:val="Normal"/>
            </w:pPr>
            <w:r>
              <w:t xml:space="preserve">190.5 × 338.7 mm</w:t>
            </w:r>
          </w:p>
        </w:tc>
        <w:tc>
          <w:tcPr>
            <w:tcW w:w="2250" w:type="dxa"/>
          </w:tcPr>
          <w:p>
            <w:pPr>
              <w:pStyle w:val="Normal"/>
            </w:pPr>
            <w:r>
              <w:t xml:space="preserve">7.5″ × 13.33″</w:t>
            </w:r>
          </w:p>
        </w:tc>
        <w:tc>
          <w:tcPr>
            <w:tcW w:w="2250" w:type="dxa"/>
          </w:tcPr>
          <w:p>
            <w:pPr>
              <w:pStyle w:val="Normal"/>
            </w:pPr>
            <w:r>
              <w:t xml:space="preserve">Vertical / phone-shaped</w:t>
            </w:r>
          </w:p>
        </w:tc>
      </w:tr>
      <w:tr>
        <w:tc>
          <w:tcPr>
            <w:tcW w:w="2250" w:type="dxa"/>
          </w:tcPr>
          <w:p>
            <w:pPr>
              <w:pStyle w:val="Normal"/>
            </w:pPr>
            <w:r>
              <w:rPr>
                <w:rStyle w:val="InlineCode"/>
              </w:rPr>
              <w:t xml:space="preserve">a4</w:t>
            </w:r>
          </w:p>
        </w:tc>
        <w:tc>
          <w:tcPr>
            <w:tcW w:w="2250" w:type="dxa"/>
          </w:tcPr>
          <w:p>
            <w:pPr>
              <w:pStyle w:val="Normal"/>
            </w:pPr>
            <w:r>
              <w:t xml:space="preserve">210 × 297 mm</w:t>
            </w:r>
          </w:p>
        </w:tc>
        <w:tc>
          <w:tcPr>
            <w:tcW w:w="2250" w:type="dxa"/>
          </w:tcPr>
          <w:p>
            <w:pPr>
              <w:pStyle w:val="Normal"/>
            </w:pPr>
            <w:r>
              <w:t xml:space="preserve">8.27″ × 11.69″</w:t>
            </w:r>
          </w:p>
        </w:tc>
        <w:tc>
          <w:tcPr>
            <w:tcW w:w="2250" w:type="dxa"/>
          </w:tcPr>
          <w:p>
            <w:pPr>
              <w:pStyle w:val="Normal"/>
            </w:pPr>
            <w:r>
              <w:t xml:space="preserve">A4 portrait (ISO 216)</w:t>
            </w:r>
          </w:p>
        </w:tc>
      </w:tr>
      <w:tr>
        <w:tc>
          <w:tcPr>
            <w:tcW w:w="2250" w:type="dxa"/>
          </w:tcPr>
          <w:p>
            <w:pPr>
              <w:pStyle w:val="Normal"/>
            </w:pPr>
            <w:r>
              <w:rPr>
                <w:rStyle w:val="InlineCode"/>
              </w:rPr>
              <w:t xml:space="preserve">a4-landscape</w:t>
            </w:r>
          </w:p>
        </w:tc>
        <w:tc>
          <w:tcPr>
            <w:tcW w:w="2250" w:type="dxa"/>
          </w:tcPr>
          <w:p>
            <w:pPr>
              <w:pStyle w:val="Normal"/>
            </w:pPr>
            <w:r>
              <w:t xml:space="preserve">297 × 210 mm</w:t>
            </w:r>
          </w:p>
        </w:tc>
        <w:tc>
          <w:tcPr>
            <w:tcW w:w="2250" w:type="dxa"/>
          </w:tcPr>
          <w:p>
            <w:pPr>
              <w:pStyle w:val="Normal"/>
            </w:pPr>
            <w:r>
              <w:t xml:space="preserve">11.69″ × 8.27″</w:t>
            </w:r>
          </w:p>
        </w:tc>
        <w:tc>
          <w:tcPr>
            <w:tcW w:w="2250" w:type="dxa"/>
          </w:tcPr>
          <w:p>
            <w:pPr>
              <w:pStyle w:val="Normal"/>
            </w:pPr>
            <w:r>
              <w:t xml:space="preserve">A4 landscape</w:t>
            </w:r>
          </w:p>
        </w:tc>
      </w:tr>
      <w:tr>
        <w:tc>
          <w:tcPr>
            <w:tcW w:w="2250" w:type="dxa"/>
          </w:tcPr>
          <w:p>
            <w:pPr>
              <w:pStyle w:val="Normal"/>
            </w:pPr>
            <w:r>
              <w:rPr>
                <w:rStyle w:val="InlineCode"/>
              </w:rPr>
              <w:t xml:space="preserve">a3</w:t>
            </w:r>
          </w:p>
        </w:tc>
        <w:tc>
          <w:tcPr>
            <w:tcW w:w="2250" w:type="dxa"/>
          </w:tcPr>
          <w:p>
            <w:pPr>
              <w:pStyle w:val="Normal"/>
            </w:pPr>
            <w:r>
              <w:t xml:space="preserve">297 × 420 mm</w:t>
            </w:r>
          </w:p>
        </w:tc>
        <w:tc>
          <w:tcPr>
            <w:tcW w:w="2250" w:type="dxa"/>
          </w:tcPr>
          <w:p>
            <w:pPr>
              <w:pStyle w:val="Normal"/>
            </w:pPr>
            <w:r>
              <w:t xml:space="preserve">11.69″ × 16.54″</w:t>
            </w:r>
          </w:p>
        </w:tc>
        <w:tc>
          <w:tcPr>
            <w:tcW w:w="2250" w:type="dxa"/>
          </w:tcPr>
          <w:p>
            <w:pPr>
              <w:pStyle w:val="Normal"/>
            </w:pPr>
            <w:r>
              <w:t xml:space="preserve">A3 portrait</w:t>
            </w:r>
          </w:p>
        </w:tc>
      </w:tr>
      <w:tr>
        <w:tc>
          <w:tcPr>
            <w:tcW w:w="2250" w:type="dxa"/>
          </w:tcPr>
          <w:p>
            <w:pPr>
              <w:pStyle w:val="Normal"/>
            </w:pPr>
            <w:r>
              <w:rPr>
                <w:rStyle w:val="InlineCode"/>
              </w:rPr>
              <w:t xml:space="preserve">a5</w:t>
            </w:r>
          </w:p>
        </w:tc>
        <w:tc>
          <w:tcPr>
            <w:tcW w:w="2250" w:type="dxa"/>
          </w:tcPr>
          <w:p>
            <w:pPr>
              <w:pStyle w:val="Normal"/>
            </w:pPr>
            <w:r>
              <w:t xml:space="preserve">148 × 210 mm</w:t>
            </w:r>
          </w:p>
        </w:tc>
        <w:tc>
          <w:tcPr>
            <w:tcW w:w="2250" w:type="dxa"/>
          </w:tcPr>
          <w:p>
            <w:pPr>
              <w:pStyle w:val="Normal"/>
            </w:pPr>
            <w:r>
              <w:t xml:space="preserve">5.83″ × 8.27″</w:t>
            </w:r>
          </w:p>
        </w:tc>
        <w:tc>
          <w:tcPr>
            <w:tcW w:w="2250" w:type="dxa"/>
          </w:tcPr>
          <w:p>
            <w:pPr>
              <w:pStyle w:val="Normal"/>
            </w:pPr>
            <w:r>
              <w:t xml:space="preserve">A5 portrait</w:t>
            </w:r>
          </w:p>
        </w:tc>
      </w:tr>
      <w:tr>
        <w:tc>
          <w:tcPr>
            <w:tcW w:w="2250" w:type="dxa"/>
          </w:tcPr>
          <w:p>
            <w:pPr>
              <w:pStyle w:val="Normal"/>
            </w:pPr>
            <w:r>
              <w:rPr>
                <w:rStyle w:val="InlineCode"/>
              </w:rPr>
              <w:t xml:space="preserve">letter</w:t>
            </w:r>
          </w:p>
        </w:tc>
        <w:tc>
          <w:tcPr>
            <w:tcW w:w="2250" w:type="dxa"/>
          </w:tcPr>
          <w:p>
            <w:pPr>
              <w:pStyle w:val="Normal"/>
            </w:pPr>
            <w:r>
              <w:t xml:space="preserve">215.9 × 279.4 mm</w:t>
            </w:r>
          </w:p>
        </w:tc>
        <w:tc>
          <w:tcPr>
            <w:tcW w:w="2250" w:type="dxa"/>
          </w:tcPr>
          <w:p>
            <w:pPr>
              <w:pStyle w:val="Normal"/>
            </w:pPr>
            <w:r>
              <w:t xml:space="preserve">8.5″ × 11″</w:t>
            </w:r>
          </w:p>
        </w:tc>
        <w:tc>
          <w:tcPr>
            <w:tcW w:w="2250" w:type="dxa"/>
          </w:tcPr>
          <w:p>
            <w:pPr>
              <w:pStyle w:val="Normal"/>
            </w:pPr>
            <w:r>
              <w:t xml:space="preserve">US Letter portrait (ANSI A)</w:t>
            </w:r>
          </w:p>
        </w:tc>
      </w:tr>
      <w:tr>
        <w:tc>
          <w:tcPr>
            <w:tcW w:w="2250" w:type="dxa"/>
          </w:tcPr>
          <w:p>
            <w:pPr>
              <w:pStyle w:val="Normal"/>
            </w:pPr>
            <w:r>
              <w:rPr>
                <w:rStyle w:val="InlineCode"/>
              </w:rPr>
              <w:t xml:space="preserve">letter-landscape</w:t>
            </w:r>
          </w:p>
        </w:tc>
        <w:tc>
          <w:tcPr>
            <w:tcW w:w="2250" w:type="dxa"/>
          </w:tcPr>
          <w:p>
            <w:pPr>
              <w:pStyle w:val="Normal"/>
            </w:pPr>
            <w:r>
              <w:t xml:space="preserve">279.4 × 215.9 mm</w:t>
            </w:r>
          </w:p>
        </w:tc>
        <w:tc>
          <w:tcPr>
            <w:tcW w:w="2250" w:type="dxa"/>
          </w:tcPr>
          <w:p>
            <w:pPr>
              <w:pStyle w:val="Normal"/>
            </w:pPr>
            <w:r>
              <w:t xml:space="preserve">11″ × 8.5″</w:t>
            </w:r>
          </w:p>
        </w:tc>
        <w:tc>
          <w:tcPr>
            <w:tcW w:w="2250" w:type="dxa"/>
          </w:tcPr>
          <w:p>
            <w:pPr>
              <w:pStyle w:val="Normal"/>
            </w:pPr>
            <w:r>
              <w:t xml:space="preserve">US Letter landscape</w:t>
            </w:r>
          </w:p>
        </w:tc>
      </w:tr>
    </w:tbl>
    <w:p>
      <w:pPr>
        <w:pStyle w:val="Heading2"/>
      </w:pPr>
      <w:r>
        <w:t xml:space="preserve">Five flavors</w:t>
      </w:r>
    </w:p>
    <w:tbl>
      <w:tblPr>
        <w:tblW w:w="0" w:type="auto"/>
        <w:tblBorders>
          <w:top w:val="single" w:sz="4" w:color="CCCCCC"/>
          <w:left w:val="single" w:sz="4" w:color="CCCCCC"/>
          <w:bottom w:val="single" w:sz="4" w:color="CCCCCC"/>
          <w:right w:val="single" w:sz="4" w:color="CCCCCC"/>
          <w:insideH w:val="single" w:sz="4" w:color="EEEEEE"/>
          <w:insideV w:val="single" w:sz="4" w:color="EEEEEE"/>
        </w:tblBorders>
      </w:tblPr>
      <w:tblGrid>
        <w:gridCol w:w="2250"/>
        <w:gridCol w:w="2250"/>
        <w:gridCol w:w="2250"/>
        <w:gridCol w:w="2250"/>
      </w:tblGrid>
      <w:tr>
        <w:trPr>
          <w:tblHeader/>
        </w:trPr>
        <w:tc>
          <w:tcPr>
            <w:tcW w:w="2250" w:type="dxa"/>
            <w:shd w:val="clear" w:color="auto" w:fill="F1F5F9"/>
          </w:tcPr>
          <w:p>
            <w:pPr>
              <w:pStyle w:val="Normal"/>
            </w:pPr>
            <w:r>
              <w:rPr>
                <w:b/>
              </w:rPr>
              <w:t xml:space="preserve">Flag value</w:t>
            </w:r>
          </w:p>
        </w:tc>
        <w:tc>
          <w:tcPr>
            <w:tcW w:w="2250" w:type="dxa"/>
            <w:shd w:val="clear" w:color="auto" w:fill="F1F5F9"/>
          </w:tcPr>
          <w:p>
            <w:pPr>
              <w:pStyle w:val="Normal"/>
            </w:pPr>
            <w:r>
              <w:rPr>
                <w:b/>
              </w:rPr>
              <w:t xml:space="preserve">Dimensions (mm)</w:t>
            </w:r>
          </w:p>
        </w:tc>
        <w:tc>
          <w:tcPr>
            <w:tcW w:w="2250" w:type="dxa"/>
            <w:shd w:val="clear" w:color="auto" w:fill="F1F5F9"/>
          </w:tcPr>
          <w:p>
            <w:pPr>
              <w:pStyle w:val="Normal"/>
            </w:pPr>
            <w:r>
              <w:rPr>
                <w:b/>
              </w:rPr>
              <w:t xml:space="preserve">Dimensions (in)</w:t>
            </w:r>
          </w:p>
        </w:tc>
        <w:tc>
          <w:tcPr>
            <w:tcW w:w="2250" w:type="dxa"/>
            <w:shd w:val="clear" w:color="auto" w:fill="F1F5F9"/>
          </w:tcPr>
          <w:p>
            <w:pPr>
              <w:pStyle w:val="Normal"/>
            </w:pPr>
            <w:r>
              <w:rPr>
                <w:b/>
              </w:rPr>
              <w:t xml:space="preserve">Use for</w:t>
            </w:r>
          </w:p>
        </w:tc>
      </w:tr>
      <w:tr>
        <w:tc>
          <w:tcPr>
            <w:tcW w:w="2250" w:type="dxa"/>
          </w:tcPr>
          <w:p>
            <w:pPr>
              <w:pStyle w:val="Normal"/>
            </w:pPr>
            <w:r>
              <w:rPr>
                <w:rStyle w:val="InlineCode"/>
              </w:rPr>
              <w:t xml:space="preserve">legal</w:t>
            </w:r>
          </w:p>
        </w:tc>
        <w:tc>
          <w:tcPr>
            <w:tcW w:w="2250" w:type="dxa"/>
          </w:tcPr>
          <w:p>
            <w:pPr>
              <w:pStyle w:val="Normal"/>
            </w:pPr>
            <w:r>
              <w:t xml:space="preserve">215.9 × 355.6 mm</w:t>
            </w:r>
          </w:p>
        </w:tc>
        <w:tc>
          <w:tcPr>
            <w:tcW w:w="2250" w:type="dxa"/>
          </w:tcPr>
          <w:p>
            <w:pPr>
              <w:pStyle w:val="Normal"/>
            </w:pPr>
            <w:r>
              <w:t xml:space="preserve">8.5″ × 14″</w:t>
            </w:r>
          </w:p>
        </w:tc>
        <w:tc>
          <w:tcPr>
            <w:tcW w:w="2250" w:type="dxa"/>
          </w:tcPr>
          <w:p>
            <w:pPr>
              <w:pStyle w:val="Normal"/>
            </w:pPr>
            <w:r>
              <w:t xml:space="preserve">US Legal</w:t>
            </w:r>
          </w:p>
        </w:tc>
      </w:tr>
      <w:tr>
        <w:tc>
          <w:tcPr>
            <w:tcW w:w="2250" w:type="dxa"/>
          </w:tcPr>
          <w:p>
            <w:pPr>
              <w:pStyle w:val="Normal"/>
            </w:pPr>
            <w:r>
              <w:rPr>
                <w:rStyle w:val="InlineCode"/>
              </w:rPr>
              <w:t xml:space="preserve">tabloid</w:t>
            </w:r>
          </w:p>
        </w:tc>
        <w:tc>
          <w:tcPr>
            <w:tcW w:w="2250" w:type="dxa"/>
          </w:tcPr>
          <w:p>
            <w:pPr>
              <w:pStyle w:val="Normal"/>
            </w:pPr>
            <w:r>
              <w:t xml:space="preserve">279.4 × 431.8 mm</w:t>
            </w:r>
          </w:p>
        </w:tc>
        <w:tc>
          <w:tcPr>
            <w:tcW w:w="2250" w:type="dxa"/>
          </w:tcPr>
          <w:p>
            <w:pPr>
              <w:pStyle w:val="Normal"/>
            </w:pPr>
            <w:r>
              <w:t xml:space="preserve">11″ × 17″</w:t>
            </w:r>
          </w:p>
        </w:tc>
        <w:tc>
          <w:tcPr>
            <w:tcW w:w="2250" w:type="dxa"/>
          </w:tcPr>
          <w:p>
            <w:pPr>
              <w:pStyle w:val="Normal"/>
            </w:pPr>
            <w:r>
              <w:t xml:space="preserve">Tabloid / ANSI B</w:t>
            </w:r>
          </w:p>
        </w:tc>
      </w:tr>
    </w:tbl>
    <w:p>
      <w:pPr>
        <w:pStyle w:val="Heading2"/>
      </w:pPr>
      <w:r>
        <w:t xml:space="preserve">Custom dimensions</w:t>
      </w:r>
    </w:p>
    <w:p>
      <w:pPr>
        <w:pStyle w:val="Normal"/>
      </w:pPr>
      <w:r>
        <w:t xml:space="preserve">Anything that isn't a preset is parsed as </w:t>
      </w:r>
      <w:r>
        <w:rPr>
          <w:rStyle w:val="InlineCode"/>
        </w:rPr>
        <w:t xml:space="preserve">WIDTHxHEIGHT[unit]</w:t>
      </w:r>
      <w:r>
        <w:t xml:space="preserve">. Plain numbers with no suffix are pixels at 96 DPI.</w:t>
      </w:r>
    </w:p>
    <w:p>
      <w:pPr>
        <w:pStyle w:val="Normal"/>
      </w:pPr>
      <w:r>
        <w:rPr>
          <w:rStyle w:val="MetaLabel"/>
        </w:rPr>
        <w:t xml:space="preserve">bash</w:t>
      </w:r>
    </w:p>
    <w:p>
      <w:pPr>
        <w:pStyle w:val="CodeBlock"/>
      </w:pPr>
      <w:r>
        <w:t xml:space="preserve">md2any deck.md --aspect 1920x1080         # pixels at 96 DPI (default unit)</w:t>
      </w:r>
    </w:p>
    <w:p>
      <w:pPr>
        <w:pStyle w:val="CodeBlock"/>
      </w:pPr>
      <w:r>
        <w:t xml:space="preserve">md2any deck.md --aspect 1920x1080px       # explicit px</w:t>
      </w:r>
    </w:p>
    <w:p>
      <w:pPr>
        <w:pStyle w:val="CodeBlock"/>
      </w:pPr>
      <w:r>
        <w:t xml:space="preserve">md2any deck.md --aspect 300x200mm         # millimetres</w:t>
      </w:r>
    </w:p>
    <w:p>
      <w:pPr>
        <w:pStyle w:val="CodeBlock"/>
      </w:pPr>
      <w:r>
        <w:t xml:space="preserve">md2any deck.md --aspect 30x20cm           # centimetres</w:t>
      </w:r>
    </w:p>
    <w:p>
      <w:pPr>
        <w:pStyle w:val="CodeBlock"/>
      </w:pPr>
      <w:r>
        <w:t xml:space="preserve">md2any deck.md --aspect 13.33x7.5in       # inches</w:t>
      </w:r>
    </w:p>
    <w:p>
      <w:pPr>
        <w:pStyle w:val="CodeBlock"/>
      </w:pPr>
      <w:r>
        <w:t xml:space="preserve">md2any deck.md --aspect 960x540pt         # PostScript points</w:t>
      </w:r>
    </w:p>
    <w:p>
      <w:pPr>
        <w:pStyle w:val="CodeBlock"/>
      </w:pPr>
      <w:r>
        <w:t xml:space="preserve">md2any deck.md --aspect 12192000x6858000emu   # raw EMU</w:t>
      </w:r>
    </w:p>
    <w:p>
      <w:pPr>
        <w:pStyle w:val="Normal"/>
      </w:pPr>
      <w:r>
        <w:t xml:space="preserve">Decimal fractions are fine. Width and height can be in any order — md2any treats </w:t>
      </w:r>
      <w:r>
        <w:rPr>
          <w:rStyle w:val="InlineCode"/>
        </w:rPr>
        <w:t xml:space="preserve">H &gt; W</w:t>
      </w:r>
      <w:r>
        <w:t xml:space="preserve"> as portrait and adjusts typography accordingly.</w:t>
      </w:r>
    </w:p>
    <w:p>
      <w:pPr>
        <w:pStyle w:val="Normal"/>
      </w:pPr>
      <w:r>
        <w:t xml:space="preserve">Portrait layouts adjust typography automatically — smaller titles, narrower content area, single-column lists.</w:t>
      </w:r>
    </w:p>
    <w:p>
      <w:pPr>
        <w:pStyle w:val="Heading1"/>
      </w:pPr>
      <w:r>
        <w:t xml:space="preserve">Output formats</w:t>
      </w:r>
    </w:p>
    <w:p>
      <w:pPr>
        <w:pStyle w:val="Heading2"/>
      </w:pPr>
      <w:r>
        <w:t xml:space="preserve">Five formats, one binary</w:t>
      </w:r>
    </w:p>
    <w:tbl>
      <w:tblPr>
        <w:tblW w:w="0" w:type="auto"/>
        <w:tblBorders>
          <w:top w:val="single" w:sz="4" w:color="CCCCCC"/>
          <w:left w:val="single" w:sz="4" w:color="CCCCCC"/>
          <w:bottom w:val="single" w:sz="4" w:color="CCCCCC"/>
          <w:right w:val="single" w:sz="4" w:color="CCCCCC"/>
          <w:insideH w:val="single" w:sz="4" w:color="EEEEEE"/>
          <w:insideV w:val="single" w:sz="4" w:color="EEEEEE"/>
        </w:tblBorders>
      </w:tblPr>
      <w:tblGrid>
        <w:gridCol w:w="2250"/>
        <w:gridCol w:w="2250"/>
        <w:gridCol w:w="2250"/>
        <w:gridCol w:w="2250"/>
      </w:tblGrid>
      <w:tr>
        <w:trPr>
          <w:tblHeader/>
        </w:trPr>
        <w:tc>
          <w:tcPr>
            <w:tcW w:w="2250" w:type="dxa"/>
            <w:shd w:val="clear" w:color="auto" w:fill="F1F5F9"/>
          </w:tcPr>
          <w:p>
            <w:pPr>
              <w:pStyle w:val="Normal"/>
            </w:pPr>
            <w:r>
              <w:rPr>
                <w:b/>
              </w:rPr>
              <w:t xml:space="preserve">Format</w:t>
            </w:r>
          </w:p>
        </w:tc>
        <w:tc>
          <w:tcPr>
            <w:tcW w:w="2250" w:type="dxa"/>
            <w:shd w:val="clear" w:color="auto" w:fill="F1F5F9"/>
          </w:tcPr>
          <w:p>
            <w:pPr>
              <w:pStyle w:val="Normal"/>
            </w:pPr>
            <w:r>
              <w:rPr>
                <w:b/>
              </w:rPr>
              <w:t xml:space="preserve">Extension</w:t>
            </w:r>
          </w:p>
        </w:tc>
        <w:tc>
          <w:tcPr>
            <w:tcW w:w="2250" w:type="dxa"/>
            <w:shd w:val="clear" w:color="auto" w:fill="F1F5F9"/>
          </w:tcPr>
          <w:p>
            <w:pPr>
              <w:pStyle w:val="Normal"/>
            </w:pPr>
            <w:r>
              <w:rPr>
                <w:b/>
              </w:rPr>
              <w:t xml:space="preserve">Opens in</w:t>
            </w:r>
          </w:p>
        </w:tc>
        <w:tc>
          <w:tcPr>
            <w:tcW w:w="2250" w:type="dxa"/>
            <w:shd w:val="clear" w:color="auto" w:fill="F1F5F9"/>
          </w:tcPr>
          <w:p>
            <w:pPr>
              <w:pStyle w:val="Normal"/>
            </w:pPr>
            <w:r>
              <w:rPr>
                <w:b/>
              </w:rPr>
              <w:t xml:space="preserve">Editable?</w:t>
            </w:r>
          </w:p>
        </w:tc>
      </w:tr>
      <w:tr>
        <w:tc>
          <w:tcPr>
            <w:tcW w:w="2250" w:type="dxa"/>
          </w:tcPr>
          <w:p>
            <w:pPr>
              <w:pStyle w:val="Normal"/>
            </w:pPr>
            <w:r>
              <w:t xml:space="preserve">PowerPoint</w:t>
            </w:r>
          </w:p>
        </w:tc>
        <w:tc>
          <w:tcPr>
            <w:tcW w:w="2250" w:type="dxa"/>
          </w:tcPr>
          <w:p>
            <w:pPr>
              <w:pStyle w:val="Normal"/>
            </w:pPr>
            <w:r>
              <w:rPr>
                <w:rStyle w:val="InlineCode"/>
              </w:rPr>
              <w:t xml:space="preserve">.pptx</w:t>
            </w:r>
          </w:p>
        </w:tc>
        <w:tc>
          <w:tcPr>
            <w:tcW w:w="2250" w:type="dxa"/>
          </w:tcPr>
          <w:p>
            <w:pPr>
              <w:pStyle w:val="Normal"/>
            </w:pPr>
            <w:r>
              <w:t xml:space="preserve">PowerPoint, Keynote, LibreOffice Impress, Google Slides</w:t>
            </w:r>
          </w:p>
        </w:tc>
        <w:tc>
          <w:tcPr>
            <w:tcW w:w="2250" w:type="dxa"/>
          </w:tcPr>
          <w:p>
            <w:pPr>
              <w:pStyle w:val="Normal"/>
            </w:pPr>
            <w:r>
              <w:t xml:space="preserve">yes</w:t>
            </w:r>
          </w:p>
        </w:tc>
      </w:tr>
      <w:tr>
        <w:tc>
          <w:tcPr>
            <w:tcW w:w="2250" w:type="dxa"/>
          </w:tcPr>
          <w:p>
            <w:pPr>
              <w:pStyle w:val="Normal"/>
            </w:pPr>
            <w:r>
              <w:t xml:space="preserve">OpenDocument Impress</w:t>
            </w:r>
          </w:p>
        </w:tc>
        <w:tc>
          <w:tcPr>
            <w:tcW w:w="2250" w:type="dxa"/>
          </w:tcPr>
          <w:p>
            <w:pPr>
              <w:pStyle w:val="Normal"/>
            </w:pPr>
            <w:r>
              <w:rPr>
                <w:rStyle w:val="InlineCode"/>
              </w:rPr>
              <w:t xml:space="preserve">.odp</w:t>
            </w:r>
          </w:p>
        </w:tc>
        <w:tc>
          <w:tcPr>
            <w:tcW w:w="2250" w:type="dxa"/>
          </w:tcPr>
          <w:p>
            <w:pPr>
              <w:pStyle w:val="Normal"/>
            </w:pPr>
            <w:r>
              <w:t xml:space="preserve">LibreOffice Impress, Keynote, Slides</w:t>
            </w:r>
          </w:p>
        </w:tc>
        <w:tc>
          <w:tcPr>
            <w:tcW w:w="2250" w:type="dxa"/>
          </w:tcPr>
          <w:p>
            <w:pPr>
              <w:pStyle w:val="Normal"/>
            </w:pPr>
            <w:r>
              <w:t xml:space="preserve">yes</w:t>
            </w:r>
          </w:p>
        </w:tc>
      </w:tr>
      <w:tr>
        <w:tc>
          <w:tcPr>
            <w:tcW w:w="2250" w:type="dxa"/>
          </w:tcPr>
          <w:p>
            <w:pPr>
              <w:pStyle w:val="Normal"/>
            </w:pPr>
            <w:r>
              <w:t xml:space="preserve">PDF</w:t>
            </w:r>
          </w:p>
        </w:tc>
        <w:tc>
          <w:tcPr>
            <w:tcW w:w="2250" w:type="dxa"/>
          </w:tcPr>
          <w:p>
            <w:pPr>
              <w:pStyle w:val="Normal"/>
            </w:pPr>
            <w:r>
              <w:rPr>
                <w:rStyle w:val="InlineCode"/>
              </w:rPr>
              <w:t xml:space="preserve">.pdf</w:t>
            </w:r>
          </w:p>
        </w:tc>
        <w:tc>
          <w:tcPr>
            <w:tcW w:w="2250" w:type="dxa"/>
          </w:tcPr>
          <w:p>
            <w:pPr>
              <w:pStyle w:val="Normal"/>
            </w:pPr>
            <w:r>
              <w:t xml:space="preserve">Anything that opens PDFs</w:t>
            </w:r>
          </w:p>
        </w:tc>
        <w:tc>
          <w:tcPr>
            <w:tcW w:w="2250" w:type="dxa"/>
          </w:tcPr>
          <w:p>
            <w:pPr>
              <w:pStyle w:val="Normal"/>
            </w:pPr>
            <w:r>
              <w:t xml:space="preserve">no</w:t>
            </w:r>
          </w:p>
        </w:tc>
      </w:tr>
      <w:tr>
        <w:tc>
          <w:tcPr>
            <w:tcW w:w="2250" w:type="dxa"/>
          </w:tcPr>
          <w:p>
            <w:pPr>
              <w:pStyle w:val="Normal"/>
            </w:pPr>
            <w:r>
              <w:t xml:space="preserve">Microsoft Word</w:t>
            </w:r>
          </w:p>
        </w:tc>
        <w:tc>
          <w:tcPr>
            <w:tcW w:w="2250" w:type="dxa"/>
          </w:tcPr>
          <w:p>
            <w:pPr>
              <w:pStyle w:val="Normal"/>
            </w:pPr>
            <w:r>
              <w:rPr>
                <w:rStyle w:val="InlineCode"/>
              </w:rPr>
              <w:t xml:space="preserve">.docx</w:t>
            </w:r>
          </w:p>
        </w:tc>
        <w:tc>
          <w:tcPr>
            <w:tcW w:w="2250" w:type="dxa"/>
          </w:tcPr>
          <w:p>
            <w:pPr>
              <w:pStyle w:val="Normal"/>
            </w:pPr>
            <w:r>
              <w:t xml:space="preserve">Word, LibreOffice Writer, Google Docs, Pages</w:t>
            </w:r>
          </w:p>
        </w:tc>
        <w:tc>
          <w:tcPr>
            <w:tcW w:w="2250" w:type="dxa"/>
          </w:tcPr>
          <w:p>
            <w:pPr>
              <w:pStyle w:val="Normal"/>
            </w:pPr>
            <w:r>
              <w:t xml:space="preserve">yes</w:t>
            </w:r>
          </w:p>
        </w:tc>
      </w:tr>
      <w:tr>
        <w:tc>
          <w:tcPr>
            <w:tcW w:w="2250" w:type="dxa"/>
          </w:tcPr>
          <w:p>
            <w:pPr>
              <w:pStyle w:val="Normal"/>
            </w:pPr>
            <w:r>
              <w:t xml:space="preserve">OpenDocument Writer</w:t>
            </w:r>
          </w:p>
        </w:tc>
        <w:tc>
          <w:tcPr>
            <w:tcW w:w="2250" w:type="dxa"/>
          </w:tcPr>
          <w:p>
            <w:pPr>
              <w:pStyle w:val="Normal"/>
            </w:pPr>
            <w:r>
              <w:rPr>
                <w:rStyle w:val="InlineCode"/>
              </w:rPr>
              <w:t xml:space="preserve">.odt</w:t>
            </w:r>
          </w:p>
        </w:tc>
        <w:tc>
          <w:tcPr>
            <w:tcW w:w="2250" w:type="dxa"/>
          </w:tcPr>
          <w:p>
            <w:pPr>
              <w:pStyle w:val="Normal"/>
            </w:pPr>
            <w:r>
              <w:t xml:space="preserve">LibreOffice Writer, Word, Google Docs</w:t>
            </w:r>
          </w:p>
        </w:tc>
        <w:tc>
          <w:tcPr>
            <w:tcW w:w="2250" w:type="dxa"/>
          </w:tcPr>
          <w:p>
            <w:pPr>
              <w:pStyle w:val="Normal"/>
            </w:pPr>
            <w:r>
              <w:t xml:space="preserve">yes</w:t>
            </w:r>
          </w:p>
        </w:tc>
      </w:tr>
    </w:tbl>
    <w:p>
      <w:pPr>
        <w:pStyle w:val="Normal"/>
      </w:pPr>
      <w:r>
        <w:t xml:space="preserve">All five produced natively in pure Rust. No PDF library, no Office spawn, no external converter.</w:t>
      </w:r>
    </w:p>
    <w:p>
      <w:pPr>
        <w:pStyle w:val="Heading2"/>
      </w:pPr>
      <w:r>
        <w:t xml:space="preserve">Slides vs documents</w:t>
      </w:r>
    </w:p>
    <w:p>
      <w:pPr>
        <w:pStyle w:val="Normal"/>
      </w:pPr>
      <w:r>
        <w:t xml:space="preserve">The five formats split into two families.</w:t>
      </w:r>
    </w:p>
    <w:p>
      <w:pPr>
        <w:pStyle w:val="Normal"/>
      </w:pPr>
      <w:r>
        <w:rPr>
          <w:b/>
        </w:rPr>
        <w:t xml:space="preserve">Slide formats</w:t>
      </w:r>
      <w:r>
        <w:t xml:space="preserve"> — </w:t>
      </w:r>
      <w:r>
        <w:rPr>
          <w:rStyle w:val="InlineCode"/>
        </w:rPr>
        <w:t xml:space="preserve">pptx</w:t>
      </w:r>
      <w:r>
        <w:t xml:space="preserve">, </w:t>
      </w:r>
      <w:r>
        <w:rPr>
          <w:rStyle w:val="InlineCode"/>
        </w:rPr>
        <w:t xml:space="preserve">odp</w:t>
      </w:r>
      <w:r>
        <w:t xml:space="preserve">, </w:t>
      </w:r>
      <w:r>
        <w:rPr>
          <w:rStyle w:val="InlineCode"/>
        </w:rPr>
        <w:t xml:space="preserve">pdf</w:t>
      </w:r>
      <w:r>
        <w:t xml:space="preserve"> — paginate one slide per page using the deck's aspect ratio. Each </w:t>
      </w:r>
      <w:r>
        <w:rPr>
          <w:rStyle w:val="InlineCode"/>
        </w:rPr>
        <w:t xml:space="preserve"># H1</w:t>
      </w:r>
      <w:r>
        <w:t xml:space="preserve"> is a section divider; each </w:t>
      </w:r>
      <w:r>
        <w:rPr>
          <w:rStyle w:val="InlineCode"/>
        </w:rPr>
        <w:t xml:space="preserve">## H2</w:t>
      </w:r>
      <w:r>
        <w:t xml:space="preserve"> starts a new slide. Long content auto-flows into </w:t>
      </w:r>
      <w:r>
        <w:rPr>
          <w:rStyle w:val="InlineCode"/>
        </w:rPr>
        <w:t xml:space="preserve">(cont.)</w:t>
      </w:r>
      <w:r>
        <w:t xml:space="preserve"> slides.</w:t>
      </w:r>
    </w:p>
    <w:p>
      <w:pPr>
        <w:pStyle w:val="Normal"/>
      </w:pPr>
      <w:r>
        <w:rPr>
          <w:b/>
        </w:rPr>
        <w:t xml:space="preserve">Document formats</w:t>
      </w:r>
      <w:r>
        <w:t xml:space="preserve"> — </w:t>
      </w:r>
      <w:r>
        <w:rPr>
          <w:rStyle w:val="InlineCode"/>
        </w:rPr>
        <w:t xml:space="preserve">docx</w:t>
      </w:r>
      <w:r>
        <w:t xml:space="preserve">, </w:t>
      </w:r>
      <w:r>
        <w:rPr>
          <w:rStyle w:val="InlineCode"/>
        </w:rPr>
        <w:t xml:space="preserve">odt</w:t>
      </w:r>
      <w:r>
        <w:t xml:space="preserve"> — flow continuously. Same source markdown produces a flowing document: title page, then each </w:t>
      </w:r>
      <w:r>
        <w:rPr>
          <w:rStyle w:val="InlineCode"/>
        </w:rPr>
        <w:t xml:space="preserve"># H1</w:t>
      </w:r>
      <w:r>
        <w:t xml:space="preserve"> as a Heading 1 (with a page break), each </w:t>
      </w:r>
      <w:r>
        <w:rPr>
          <w:rStyle w:val="InlineCode"/>
        </w:rPr>
        <w:t xml:space="preserve">## H2</w:t>
      </w:r>
      <w:r>
        <w:t xml:space="preserve"> as Heading 2, and all body content as flowing paragraphs/lists/tables. Use these to produce the printed companion or handout for a deck.</w:t>
      </w:r>
    </w:p>
    <w:p>
      <w:pPr>
        <w:pStyle w:val="Heading2"/>
      </w:pPr>
      <w:r>
        <w:t xml:space="preserve">When to use which</w:t>
      </w:r>
    </w:p>
    <w:p>
      <w:pPr>
        <w:pStyle w:val="Normal"/>
      </w:pPr>
      <w:r>
        <w:rPr>
          <w:b/>
        </w:rPr>
        <w:t xml:space="preserve">PPTX</w:t>
      </w:r>
      <w:r>
        <w:t xml:space="preserve"> when someone needs to edit the slides. Native OOXML; opens everywhere.</w:t>
      </w:r>
    </w:p>
    <w:p>
      <w:pPr>
        <w:pStyle w:val="Normal"/>
      </w:pPr>
      <w:r>
        <w:rPr>
          <w:b/>
        </w:rPr>
        <w:t xml:space="preserve">ODP</w:t>
      </w:r>
      <w:r>
        <w:t xml:space="preserve"> when you're all-in on LibreOffice or want smaller files (~⅓ the size of PPTX). Same render quality.</w:t>
      </w:r>
    </w:p>
    <w:p>
      <w:pPr>
        <w:pStyle w:val="Normal"/>
      </w:pPr>
      <w:r>
        <w:rPr>
          <w:b/>
        </w:rPr>
        <w:t xml:space="preserve">PDF</w:t>
      </w:r>
      <w:r>
        <w:t xml:space="preserve"> when the deck needs to look identical on every machine. md2any embeds DejaVu Sans + DejaVu Sans Mono inside the binary and into every PDF, so output renders identically in every reader regardless of installed fonts. Speaker notes are dropped.</w:t>
      </w:r>
    </w:p>
    <w:p>
      <w:pPr>
        <w:pStyle w:val="Normal"/>
      </w:pPr>
      <w:r>
        <w:rPr>
          <w:b/>
        </w:rPr>
        <w:t xml:space="preserve">DOCX</w:t>
      </w:r>
      <w:r>
        <w:t xml:space="preserve"> to hand someone the deck's contents as a Word document — for marking up, commenting, or printing as a handout.</w:t>
      </w:r>
    </w:p>
    <w:p>
      <w:pPr>
        <w:pStyle w:val="Normal"/>
      </w:pPr>
      <w:r>
        <w:rPr>
          <w:b/>
        </w:rPr>
        <w:t xml:space="preserve">ODT</w:t>
      </w:r>
      <w:r>
        <w:t xml:space="preserve"> when your collaborator uses LibreOffice Writer, or when you want the smallest editable document format.</w:t>
      </w:r>
    </w:p>
    <w:p>
      <w:pPr>
        <w:pStyle w:val="Heading2"/>
      </w:pPr>
      <w:r>
        <w:t xml:space="preserve">Switching formats</w:t>
      </w:r>
    </w:p>
    <w:p>
      <w:pPr>
        <w:pStyle w:val="Normal"/>
      </w:pPr>
      <w:r>
        <w:t xml:space="preserve">The format auto-detects from the output extension:</w:t>
      </w:r>
    </w:p>
    <w:p>
      <w:pPr>
        <w:pStyle w:val="Normal"/>
      </w:pPr>
      <w:r>
        <w:rPr>
          <w:rStyle w:val="MetaLabel"/>
        </w:rPr>
        <w:t xml:space="preserve">bash</w:t>
      </w:r>
    </w:p>
    <w:p>
      <w:pPr>
        <w:pStyle w:val="CodeBlock"/>
      </w:pPr>
      <w:r>
        <w:t xml:space="preserve">md2any talk.md -o slides.pdf       # PDF</w:t>
      </w:r>
    </w:p>
    <w:p>
      <w:pPr>
        <w:pStyle w:val="CodeBlock"/>
      </w:pPr>
      <w:r>
        <w:t xml:space="preserve">md2any talk.md -o slides.odp       # ODP</w:t>
      </w:r>
    </w:p>
    <w:p>
      <w:pPr>
        <w:pStyle w:val="CodeBlock"/>
      </w:pPr>
      <w:r>
        <w:t xml:space="preserve">md2any talk.md -o slides.pptx      # PPTX</w:t>
      </w:r>
    </w:p>
    <w:p>
      <w:pPr>
        <w:pStyle w:val="CodeBlock"/>
      </w:pPr>
      <w:r>
        <w:t xml:space="preserve">md2any talk.md -o paper.docx       # Word document</w:t>
      </w:r>
    </w:p>
    <w:p>
      <w:pPr>
        <w:pStyle w:val="CodeBlock"/>
      </w:pPr>
      <w:r>
        <w:t xml:space="preserve">md2any talk.md -o paper.odt        # LibreOffice Writer</w:t>
      </w:r>
    </w:p>
    <w:p>
      <w:pPr>
        <w:pStyle w:val="Normal"/>
      </w:pPr>
      <w:r>
        <w:t xml:space="preserve">Or set it explicitly with </w:t>
      </w:r>
      <w:r>
        <w:rPr>
          <w:rStyle w:val="InlineCode"/>
        </w:rPr>
        <w:t xml:space="preserve">--format</w:t>
      </w:r>
      <w:r>
        <w:t xml:space="preserve">:</w:t>
      </w:r>
    </w:p>
    <w:p>
      <w:pPr>
        <w:pStyle w:val="Normal"/>
      </w:pPr>
      <w:r>
        <w:rPr>
          <w:rStyle w:val="MetaLabel"/>
        </w:rPr>
        <w:t xml:space="preserve">bash</w:t>
      </w:r>
    </w:p>
    <w:p>
      <w:pPr>
        <w:pStyle w:val="CodeBlock"/>
      </w:pPr>
      <w:r>
        <w:t xml:space="preserve">md2any talk.md --format pdf</w:t>
      </w:r>
    </w:p>
    <w:p>
      <w:pPr>
        <w:pStyle w:val="CodeBlock"/>
      </w:pPr>
      <w:r>
        <w:t xml:space="preserve">md2any talk.md --format docx --output /tmp/handout.docx</w:t>
      </w:r>
    </w:p>
    <w:p>
      <w:pPr>
        <w:pStyle w:val="Heading1"/>
      </w:pPr>
      <w:r>
        <w:t xml:space="preserve">Handout mode</w:t>
      </w:r>
    </w:p>
    <w:p>
      <w:pPr>
        <w:pStyle w:val="Heading2"/>
      </w:pPr>
      <w:r>
        <w:t xml:space="preserve">N-up printable PDF</w:t>
      </w:r>
    </w:p>
    <w:p>
      <w:pPr>
        <w:pStyle w:val="Normal"/>
      </w:pPr>
      <w:r>
        <w:rPr>
          <w:rStyle w:val="InlineCode"/>
        </w:rPr>
        <w:t xml:space="preserve">--handout N</w:t>
      </w:r>
      <w:r>
        <w:t xml:space="preserve"> (where N is 2, 4, or 6) produces an A4-portrait PDF with N slides per page. Use it to print a take-away after the talk.</w:t>
      </w:r>
    </w:p>
    <w:p>
      <w:pPr>
        <w:pStyle w:val="Normal"/>
      </w:pPr>
      <w:r>
        <w:rPr>
          <w:rStyle w:val="MetaLabel"/>
        </w:rPr>
        <w:t xml:space="preserve">bash</w:t>
      </w:r>
    </w:p>
    <w:p>
      <w:pPr>
        <w:pStyle w:val="CodeBlock"/>
      </w:pPr>
      <w:r>
        <w:t xml:space="preserve">md2any talk.md --handout 4 -o talk-handout.pdf</w:t>
      </w:r>
    </w:p>
    <w:p>
      <w:pPr>
        <w:pStyle w:val="Normal"/>
      </w:pPr>
      <w:r>
        <w:t xml:space="preserve">Slides become numbered thumbnails on the page. Layout, theme, and transitions remain untouched.</w:t>
      </w:r>
    </w:p>
    <w:p>
      <w:pPr>
        <w:pStyle w:val="Heading1"/>
      </w:pPr>
      <w:r>
        <w:t xml:space="preserve">Workflow</w:t>
      </w:r>
    </w:p>
    <w:p>
      <w:pPr>
        <w:pStyle w:val="Heading2"/>
      </w:pPr>
      <w:r>
        <w:t xml:space="preserve">Watch mode</w:t>
      </w:r>
    </w:p>
    <w:p>
      <w:pPr>
        <w:pStyle w:val="Normal"/>
      </w:pPr>
      <w:r>
        <w:rPr>
          <w:rStyle w:val="InlineCode"/>
        </w:rPr>
        <w:t xml:space="preserve">--watch</w:t>
      </w:r>
      <w:r>
        <w:t xml:space="preserve"> rebuilds the output every time the source changes. Pair with the file watcher in your editor for a live-rebuild loop:</w:t>
      </w:r>
    </w:p>
    <w:p>
      <w:pPr>
        <w:pStyle w:val="Normal"/>
      </w:pPr>
      <w:r>
        <w:rPr>
          <w:rStyle w:val="MetaLabel"/>
        </w:rPr>
        <w:t xml:space="preserve">bash</w:t>
      </w:r>
    </w:p>
    <w:p>
      <w:pPr>
        <w:pStyle w:val="CodeBlock"/>
      </w:pPr>
      <w:r>
        <w:t xml:space="preserve">md2any talk.md -o talk.pdf --watch</w:t>
      </w:r>
    </w:p>
    <w:p>
      <w:pPr>
        <w:pStyle w:val="Heading2"/>
      </w:pPr>
      <w:r>
        <w:t xml:space="preserve">Live preview server</w:t>
      </w:r>
    </w:p>
    <w:p>
      <w:pPr>
        <w:pStyle w:val="Normal"/>
      </w:pPr>
      <w:r>
        <w:rPr>
          <w:rStyle w:val="InlineCode"/>
        </w:rPr>
        <w:t xml:space="preserve">--serve</w:t>
      </w:r>
      <w:r>
        <w:t xml:space="preserve"> starts a tiny HTTP server on </w:t>
      </w:r>
      <w:r>
        <w:rPr>
          <w:rStyle w:val="InlineCode"/>
        </w:rPr>
        <w:t xml:space="preserve">localhost:8421</w:t>
      </w:r>
      <w:r>
        <w:t xml:space="preserve"> that hosts the PDF with auto-reload. Open the URL once, then just keep editing — the browser tab refreshes within ~500 ms of every save.</w:t>
      </w:r>
    </w:p>
    <w:p>
      <w:pPr>
        <w:pStyle w:val="Normal"/>
      </w:pPr>
      <w:r>
        <w:rPr>
          <w:rStyle w:val="MetaLabel"/>
        </w:rPr>
        <w:t xml:space="preserve">bash</w:t>
      </w:r>
    </w:p>
    <w:p>
      <w:pPr>
        <w:pStyle w:val="CodeBlock"/>
      </w:pPr>
      <w:r>
        <w:t xml:space="preserve">md2any talk.md --serve --port 9000</w:t>
      </w:r>
    </w:p>
    <w:p>
      <w:pPr>
        <w:pStyle w:val="Normal"/>
      </w:pPr>
      <w:r>
        <w:t xml:space="preserve">No frontend dependencies. Pure std HTTP.</w:t>
      </w:r>
    </w:p>
    <w:p>
      <w:pPr>
        <w:pStyle w:val="Heading2"/>
      </w:pPr>
      <w:r>
        <w:t xml:space="preserve">Linting</w:t>
      </w:r>
    </w:p>
    <w:p>
      <w:pPr>
        <w:pStyle w:val="Normal"/>
      </w:pPr>
      <w:r>
        <w:rPr>
          <w:rStyle w:val="InlineCode"/>
        </w:rPr>
        <w:t xml:space="preserve">--check</w:t>
      </w:r>
      <w:r>
        <w:t xml:space="preserve"> parses and paginates without writing output, then prints warnings about likely visual issues — long titles, narrow tables, code that won't fit, lists that pile too high. Exits with code 2 if any warnings.</w:t>
      </w:r>
    </w:p>
    <w:p>
      <w:pPr>
        <w:pStyle w:val="Normal"/>
      </w:pPr>
      <w:r>
        <w:rPr>
          <w:rStyle w:val="MetaLabel"/>
        </w:rPr>
        <w:t xml:space="preserve">bash</w:t>
      </w:r>
    </w:p>
    <w:p>
      <w:pPr>
        <w:pStyle w:val="CodeBlock"/>
      </w:pPr>
      <w:r>
        <w:t xml:space="preserve">md2any talk.md --check</w:t>
      </w:r>
    </w:p>
    <w:p>
      <w:pPr>
        <w:pStyle w:val="Normal"/>
      </w:pPr>
      <w:r>
        <w:t xml:space="preserve">Useful in CI to catch decks that will render poorly before you ship them.</w:t>
      </w:r>
    </w:p>
    <w:p>
      <w:pPr>
        <w:pStyle w:val="Heading2"/>
      </w:pPr>
      <w:r>
        <w:t xml:space="preserve">Scaffolding</w:t>
      </w:r>
    </w:p>
    <w:p>
      <w:pPr>
        <w:pStyle w:val="Normal"/>
      </w:pPr>
      <w:r>
        <w:rPr>
          <w:rStyle w:val="InlineCode"/>
        </w:rPr>
        <w:t xml:space="preserve">md2any new talk.md</w:t>
      </w:r>
      <w:r>
        <w:t xml:space="preserve"> writes a starter deck with sensible front matter and a few example slides — front matter, title slide, section divider, content slide with a code block and a table.</w:t>
      </w:r>
    </w:p>
    <w:p>
      <w:pPr>
        <w:pStyle w:val="Normal"/>
      </w:pPr>
      <w:r>
        <w:rPr>
          <w:rStyle w:val="MetaLabel"/>
        </w:rPr>
        <w:t xml:space="preserve">bash</w:t>
      </w:r>
    </w:p>
    <w:p>
      <w:pPr>
        <w:pStyle w:val="CodeBlock"/>
      </w:pPr>
      <w:r>
        <w:t xml:space="preserve">md2any new keynote.md</w:t>
      </w:r>
    </w:p>
    <w:p>
      <w:pPr>
        <w:pStyle w:val="CodeBlock"/>
      </w:pPr>
      <w:r>
        <w:t xml:space="preserve">md2any new keynote.md --force      # overwrite an existing file</w:t>
      </w:r>
    </w:p>
    <w:p>
      <w:pPr>
        <w:pStyle w:val="Heading2"/>
      </w:pPr>
      <w:r>
        <w:t xml:space="preserve">Multi-file decks</w:t>
      </w:r>
    </w:p>
    <w:p>
      <w:pPr>
        <w:pStyle w:val="Normal"/>
      </w:pPr>
      <w:r>
        <w:t xml:space="preserve">Pass multiple markdown files; they concatenate in order, with front matter from the first.</w:t>
      </w:r>
    </w:p>
    <w:p>
      <w:pPr>
        <w:pStyle w:val="Normal"/>
      </w:pPr>
      <w:r>
        <w:rPr>
          <w:rStyle w:val="MetaLabel"/>
        </w:rPr>
        <w:t xml:space="preserve">bash</w:t>
      </w:r>
    </w:p>
    <w:p>
      <w:pPr>
        <w:pStyle w:val="CodeBlock"/>
      </w:pPr>
      <w:r>
        <w:t xml:space="preserve">md2any intro.md body.md outro.md -o talk.pptx</w:t>
      </w:r>
    </w:p>
    <w:p>
      <w:pPr>
        <w:pStyle w:val="Normal"/>
      </w:pPr>
      <w:r>
        <w:t xml:space="preserve">Useful for very large decks where one file per section keeps editing manageable.</w:t>
      </w:r>
    </w:p>
    <w:p>
      <w:pPr>
        <w:pStyle w:val="Heading2"/>
      </w:pPr>
      <w:r>
        <w:t xml:space="preserve">Stdin</w:t>
      </w:r>
    </w:p>
    <w:p>
      <w:pPr>
        <w:pStyle w:val="Normal"/>
      </w:pPr>
      <w:r>
        <w:t xml:space="preserve">Pass </w:t>
      </w:r>
      <w:r>
        <w:rPr>
          <w:rStyle w:val="InlineCode"/>
        </w:rPr>
        <w:t xml:space="preserve">-</w:t>
      </w:r>
      <w:r>
        <w:t xml:space="preserve"> as the input to read from stdin:</w:t>
      </w:r>
    </w:p>
    <w:p>
      <w:pPr>
        <w:pStyle w:val="Normal"/>
      </w:pPr>
      <w:r>
        <w:rPr>
          <w:rStyle w:val="MetaLabel"/>
        </w:rPr>
        <w:t xml:space="preserve">bash</w:t>
      </w:r>
    </w:p>
    <w:p>
      <w:pPr>
        <w:pStyle w:val="CodeBlock"/>
      </w:pPr>
      <w:r>
        <w:t xml:space="preserve">cat draft.md | md2any - -o /tmp/preview.pdf</w:t>
      </w:r>
    </w:p>
    <w:p>
      <w:pPr>
        <w:pStyle w:val="CodeBlock"/>
      </w:pPr>
      <w:r>
        <w:t xml:space="preserve">some-generator | md2any - --format docx &gt; /tmp/auto.docx</w:t>
      </w:r>
    </w:p>
    <w:p>
      <w:pPr>
        <w:pStyle w:val="Heading1"/>
      </w:pPr>
      <w:r>
        <w:t xml:space="preserve">Command-line reference</w:t>
      </w:r>
    </w:p>
    <w:p>
      <w:pPr>
        <w:pStyle w:val="Heading2"/>
      </w:pPr>
      <w:r>
        <w:t xml:space="preserve">Every flag</w:t>
      </w:r>
    </w:p>
    <w:p>
      <w:pPr>
        <w:pStyle w:val="CodeBlock"/>
      </w:pPr>
      <w:r>
        <w:t xml:space="preserve">md2any &lt;INPUT...&gt; [OPTIONS]</w:t>
      </w:r>
    </w:p>
    <w:p>
      <w:pPr>
        <w:pStyle w:val="CodeBlock"/>
      </w:pPr>
      <w:r>
        <w:t xml:space="preserve">md2any new &lt;PATH&gt;          Write a starter markdown file with example structure</w:t>
      </w:r>
    </w:p>
    <w:p>
      <w:pPr>
        <w:pStyle w:val="CodeBlock"/>
      </w:pPr>
      <w:r>
        <w:t xml:space="preserve">md2any doctor              Probe optional CLIs, bundled fonts, build features</w:t>
      </w:r>
    </w:p>
    <w:p>
      <w:pPr>
        <w:pStyle w:val="CodeBlock"/>
      </w:pPr>
      <w:r>
        <w:t xml:space="preserve">md2any licenses            Print the bundled-font licence notice</w:t>
      </w:r>
    </w:p>
    <w:p>
      <w:pPr>
        <w:pStyle w:val="CodeBlock"/>
      </w:pPr>
      <w:r>
        <w:t xml:space="preserve"/>
      </w:r>
    </w:p>
    <w:p>
      <w:pPr>
        <w:pStyle w:val="CodeBlock"/>
      </w:pPr>
      <w:r>
        <w:t xml:space="preserve">  -o, --output &lt;PATH&gt;      Output file (default: from -o extension, else input.pptx)</w:t>
      </w:r>
    </w:p>
    <w:p>
      <w:pPr>
        <w:pStyle w:val="CodeBlock"/>
      </w:pPr>
      <w:r>
        <w:t xml:space="preserve">      --format &lt;NAME&gt;      pptx | odp | pdf | docx | odt</w:t>
      </w:r>
    </w:p>
    <w:p>
      <w:pPr>
        <w:pStyle w:val="CodeBlock"/>
      </w:pPr>
      <w:r>
        <w:t xml:space="preserve">      --theme &lt;NAME&gt;       light | dark</w:t>
      </w:r>
    </w:p>
    <w:p>
      <w:pPr>
        <w:pStyle w:val="CodeBlock"/>
      </w:pPr>
      <w:r>
        <w:t xml:space="preserve">      --aspect &lt;RATIO&gt;     16:9 | 4:3 | 9:16 | a4[-landscape] | a3 | a5 |</w:t>
      </w:r>
    </w:p>
    <w:p>
      <w:pPr>
        <w:pStyle w:val="CodeBlock"/>
      </w:pPr>
      <w:r>
        <w:t xml:space="preserve">                           letter[-landscape] | legal | tabloid |</w:t>
      </w:r>
    </w:p>
    <w:p>
      <w:pPr>
        <w:pStyle w:val="CodeBlock"/>
      </w:pPr>
      <w:r>
        <w:t xml:space="preserve">                           WxH[unit] custom (px / mm / cm / in / pt / emu)</w:t>
      </w:r>
    </w:p>
    <w:p>
      <w:pPr>
        <w:pStyle w:val="CodeBlock"/>
      </w:pPr>
      <w:r>
        <w:t xml:space="preserve">      --layout &lt;NAME&gt;      clean | studio | frame | bold</w:t>
      </w:r>
    </w:p>
    <w:p>
      <w:pPr>
        <w:pStyle w:val="CodeBlock"/>
      </w:pPr>
      <w:r>
        <w:t xml:space="preserve">      --title &lt;STRING&gt;     Override deck title</w:t>
      </w:r>
    </w:p>
    <w:p>
      <w:pPr>
        <w:pStyle w:val="CodeBlock"/>
      </w:pPr>
      <w:r>
        <w:t xml:space="preserve">      --author &lt;STRING&gt;    Override deck author</w:t>
      </w:r>
    </w:p>
    <w:p>
      <w:pPr>
        <w:pStyle w:val="CodeBlock"/>
      </w:pPr>
      <w:r>
        <w:t xml:space="preserve">      --font &lt;NAME&gt;        Override body / title font (PPTX/ODP/DOCX/ODT)</w:t>
      </w:r>
    </w:p>
    <w:p>
      <w:pPr>
        <w:pStyle w:val="CodeBlock"/>
      </w:pPr>
      <w:r>
        <w:t xml:space="preserve">      --logo &lt;PATH&gt;        Logo image rendered in slide footer</w:t>
      </w:r>
    </w:p>
    <w:p>
      <w:pPr>
        <w:pStyle w:val="CodeBlock"/>
      </w:pPr>
      <w:r>
        <w:t xml:space="preserve">      --remote-image-cache &lt;PATH&gt;</w:t>
      </w:r>
    </w:p>
    <w:p>
      <w:pPr>
        <w:pStyle w:val="CodeBlock"/>
      </w:pPr>
      <w:r>
        <w:t xml:space="preserve">                           Directory used to cache http(s) image downloads</w:t>
      </w:r>
    </w:p>
    <w:p>
      <w:pPr>
        <w:pStyle w:val="Heading2"/>
      </w:pPr>
      <w:r>
        <w:t xml:space="preserve">Every flag</w:t>
      </w:r>
    </w:p>
    <w:p>
      <w:pPr>
        <w:pStyle w:val="CodeBlock"/>
      </w:pPr>
      <w:r>
        <w:t xml:space="preserve">                           (default: platform cache directory)</w:t>
      </w:r>
    </w:p>
    <w:p>
      <w:pPr>
        <w:pStyle w:val="CodeBlock"/>
      </w:pPr>
      <w:r>
        <w:t xml:space="preserve">      --no-remote-image-cache</w:t>
      </w:r>
    </w:p>
    <w:p>
      <w:pPr>
        <w:pStyle w:val="CodeBlock"/>
      </w:pPr>
      <w:r>
        <w:t xml:space="preserve">                           Fetch http(s) images on every render</w:t>
      </w:r>
    </w:p>
    <w:p>
      <w:pPr>
        <w:pStyle w:val="CodeBlock"/>
      </w:pPr>
      <w:r>
        <w:t xml:space="preserve">      --remote-image-user-agent &lt;STRING&gt;</w:t>
      </w:r>
    </w:p>
    <w:p>
      <w:pPr>
        <w:pStyle w:val="CodeBlock"/>
      </w:pPr>
      <w:r>
        <w:t xml:space="preserve">                           User-Agent sent when fetching remote images</w:t>
      </w:r>
    </w:p>
    <w:p>
      <w:pPr>
        <w:pStyle w:val="CodeBlock"/>
      </w:pPr>
      <w:r>
        <w:t xml:space="preserve">      --theme-file &lt;PATH&gt;  YAML colour/font/size overlay</w:t>
      </w:r>
    </w:p>
    <w:p>
      <w:pPr>
        <w:pStyle w:val="CodeBlock"/>
      </w:pPr>
      <w:r>
        <w:t xml:space="preserve">      --handout &lt;N&gt;        PDF only: 2/4/6 slides per A4 portrait page</w:t>
      </w:r>
    </w:p>
    <w:p>
      <w:pPr>
        <w:pStyle w:val="CodeBlock"/>
      </w:pPr>
      <w:r>
        <w:t xml:space="preserve">      --with-notes         PDF only: emit one A4 page per slide with</w:t>
      </w:r>
    </w:p>
    <w:p>
      <w:pPr>
        <w:pStyle w:val="CodeBlock"/>
      </w:pPr>
      <w:r>
        <w:t xml:space="preserve">                           the thumbnail + speaker notes underneath</w:t>
      </w:r>
    </w:p>
    <w:p>
      <w:pPr>
        <w:pStyle w:val="CodeBlock"/>
      </w:pPr>
      <w:r>
        <w:t xml:space="preserve">      --cjk &lt;PATH&gt;         PDF only: TTF/OTF font used as per-character</w:t>
      </w:r>
    </w:p>
    <w:p>
      <w:pPr>
        <w:pStyle w:val="CodeBlock"/>
      </w:pPr>
      <w:r>
        <w:t xml:space="preserve">                           fallback when DejaVu can't render a glyph</w:t>
      </w:r>
    </w:p>
    <w:p>
      <w:pPr>
        <w:pStyle w:val="CodeBlock"/>
      </w:pPr>
      <w:r>
        <w:t xml:space="preserve">                           (typically a Noto CJK or system CJK font)</w:t>
      </w:r>
    </w:p>
    <w:p>
      <w:pPr>
        <w:pStyle w:val="CodeBlock"/>
      </w:pPr>
      <w:r>
        <w:t xml:space="preserve">      --watch              Watch the markdown input file(s) and rebuild on change</w:t>
      </w:r>
    </w:p>
    <w:p>
      <w:pPr>
        <w:pStyle w:val="CodeBlock"/>
      </w:pPr>
      <w:r>
        <w:t xml:space="preserve">                           (external deps like images / theme-file / logo are</w:t>
      </w:r>
    </w:p>
    <w:p>
      <w:pPr>
        <w:pStyle w:val="CodeBlock"/>
      </w:pPr>
      <w:r>
        <w:t xml:space="preserve">                           not tracked — restart if those change)</w:t>
      </w:r>
    </w:p>
    <w:p>
      <w:pPr>
        <w:pStyle w:val="CodeBlock"/>
      </w:pPr>
      <w:r>
        <w:t xml:space="preserve">      --serve              Start localhost HTTP preview with hot reload</w:t>
      </w:r>
    </w:p>
    <w:p>
      <w:pPr>
        <w:pStyle w:val="CodeBlock"/>
      </w:pPr>
      <w:r>
        <w:t xml:space="preserve">      --port &lt;N&gt;           Port for --serve (default 8421)</w:t>
      </w:r>
    </w:p>
    <w:p>
      <w:pPr>
        <w:pStyle w:val="CodeBlock"/>
      </w:pPr>
      <w:r>
        <w:t xml:space="preserve">      --check              Lint mode; exit code 2 if any warnings</w:t>
      </w:r>
    </w:p>
    <w:p>
      <w:pPr>
        <w:pStyle w:val="Heading2"/>
      </w:pPr>
      <w:r>
        <w:t xml:space="preserve">Every flag</w:t>
      </w:r>
    </w:p>
    <w:p>
      <w:pPr>
        <w:pStyle w:val="CodeBlock"/>
      </w:pPr>
      <w:r>
        <w:t xml:space="preserve">      --outline            Print one-line-per-slide outline (page, kind, blocks,</w:t>
      </w:r>
    </w:p>
    <w:p>
      <w:pPr>
        <w:pStyle w:val="CodeBlock"/>
      </w:pPr>
      <w:r>
        <w:t xml:space="preserve">                           title) and exit. No output file is written.</w:t>
      </w:r>
    </w:p>
    <w:p>
      <w:pPr>
        <w:pStyle w:val="CodeBlock"/>
      </w:pPr>
      <w:r>
        <w:t xml:space="preserve">  -q, --quiet              Suppress summary line</w:t>
      </w:r>
    </w:p>
    <w:p>
      <w:pPr>
        <w:pStyle w:val="CodeBlock"/>
      </w:pPr>
      <w:r>
        <w:t xml:space="preserve">  -h, --help               Print this brief help</w:t>
      </w:r>
    </w:p>
    <w:p>
      <w:pPr>
        <w:pStyle w:val="CodeBlock"/>
      </w:pPr>
      <w:r>
        <w:t xml:space="preserve">      --help-pptx          Generate the user manual as PPTX</w:t>
      </w:r>
    </w:p>
    <w:p>
      <w:pPr>
        <w:pStyle w:val="CodeBlock"/>
      </w:pPr>
      <w:r>
        <w:t xml:space="preserve">      --help-odp           Generate the user manual as ODP</w:t>
      </w:r>
    </w:p>
    <w:p>
      <w:pPr>
        <w:pStyle w:val="CodeBlock"/>
      </w:pPr>
      <w:r>
        <w:t xml:space="preserve">      --help-pdf           Generate the user manual as PDF</w:t>
      </w:r>
    </w:p>
    <w:p>
      <w:pPr>
        <w:pStyle w:val="CodeBlock"/>
      </w:pPr>
      <w:r>
        <w:t xml:space="preserve">      --help-docx          Generate the user manual as Word DOCX</w:t>
      </w:r>
    </w:p>
    <w:p>
      <w:pPr>
        <w:pStyle w:val="CodeBlock"/>
      </w:pPr>
      <w:r>
        <w:t xml:space="preserve">      --help-odt           Generate the user manual as LibreOffice ODT</w:t>
      </w:r>
    </w:p>
    <w:p>
      <w:pPr>
        <w:pStyle w:val="CodeBlock"/>
      </w:pPr>
      <w:r>
        <w:t xml:space="preserve">      --help-md            Print the user-manual Markdown source to stdout</w:t>
      </w:r>
    </w:p>
    <w:p>
      <w:pPr>
        <w:pStyle w:val="CodeBlock"/>
      </w:pPr>
      <w:r>
        <w:t xml:space="preserve">  -V, --version            Print version</w:t>
      </w:r>
    </w:p>
    <w:p>
      <w:pPr>
        <w:pStyle w:val="Heading2"/>
      </w:pPr>
      <w:r>
        <w:t xml:space="preserve">Combining flags</w:t>
      </w:r>
    </w:p>
    <w:p>
      <w:pPr>
        <w:pStyle w:val="Normal"/>
      </w:pPr>
      <w:r>
        <w:t xml:space="preserve">The </w:t>
      </w:r>
      <w:r>
        <w:rPr>
          <w:rStyle w:val="InlineCode"/>
        </w:rPr>
        <w:t xml:space="preserve">--help-*</w:t>
      </w:r>
      <w:r>
        <w:t xml:space="preserve"> flags respect every other flag.</w:t>
      </w:r>
    </w:p>
    <w:p>
      <w:pPr>
        <w:pStyle w:val="Normal"/>
      </w:pPr>
      <w:r>
        <w:rPr>
          <w:rStyle w:val="MetaLabel"/>
        </w:rPr>
        <w:t xml:space="preserve">bash</w:t>
      </w:r>
    </w:p>
    <w:p>
      <w:pPr>
        <w:pStyle w:val="CodeBlock"/>
      </w:pPr>
      <w:r>
        <w:t xml:space="preserve">md2any --help-pdf --theme dark --layout studio</w:t>
      </w:r>
    </w:p>
    <w:p>
      <w:pPr>
        <w:pStyle w:val="CodeBlock"/>
      </w:pPr>
      <w:r>
        <w:t xml:space="preserve">md2any --help-pptx --aspect 9:16</w:t>
      </w:r>
    </w:p>
    <w:p>
      <w:pPr>
        <w:pStyle w:val="CodeBlock"/>
      </w:pPr>
      <w:r>
        <w:t xml:space="preserve">md2any --help-odt --theme-file brand.yaml -o brand-manual.odt</w:t>
      </w:r>
    </w:p>
    <w:p>
      <w:pPr>
        <w:pStyle w:val="CodeBlock"/>
      </w:pPr>
      <w:r>
        <w:t xml:space="preserve">md2any --help-md | head -100</w:t>
      </w:r>
    </w:p>
    <w:p>
      <w:pPr>
        <w:pStyle w:val="Normal"/>
      </w:pPr>
      <w:r>
        <w:t xml:space="preserve">Same is true for normal runs — every flag composes with every other.</w:t>
      </w:r>
    </w:p>
    <w:p>
      <w:pPr>
        <w:pStyle w:val="Heading1"/>
      </w:pPr>
      <w:r>
        <w:t xml:space="preserve">Speaker notes</w:t>
      </w:r>
    </w:p>
    <w:p>
      <w:pPr>
        <w:pStyle w:val="Heading2"/>
      </w:pPr>
      <w:r>
        <w:t xml:space="preserve">How to attach notes</w:t>
      </w:r>
    </w:p>
    <w:p>
      <w:pPr>
        <w:pStyle w:val="Normal"/>
      </w:pPr>
      <w:r>
        <w:t xml:space="preserve">Put an HTML comment starting with </w:t>
      </w:r>
      <w:r>
        <w:rPr>
          <w:rStyle w:val="InlineCode"/>
        </w:rPr>
        <w:t xml:space="preserve">notes:</w:t>
      </w:r>
      <w:r>
        <w:t xml:space="preserve"> or </w:t>
      </w:r>
      <w:r>
        <w:rPr>
          <w:rStyle w:val="InlineCode"/>
        </w:rPr>
        <w:t xml:space="preserve">speaker notes:</w:t>
      </w:r>
      <w:r>
        <w:t xml:space="preserve"> anywhere on the slide:</w:t>
      </w:r>
    </w:p>
    <w:p>
      <w:pPr>
        <w:pStyle w:val="Normal"/>
      </w:pPr>
      <w:r>
        <w:rPr>
          <w:rStyle w:val="MetaLabel"/>
        </w:rPr>
        <w:t xml:space="preserve">markdown</w:t>
      </w:r>
    </w:p>
    <w:p>
      <w:pPr>
        <w:pStyle w:val="CodeBlock"/>
      </w:pPr>
      <w:r>
        <w:t xml:space="preserve">## A slide title</w:t>
      </w:r>
    </w:p>
    <w:p>
      <w:pPr>
        <w:pStyle w:val="CodeBlock"/>
      </w:pPr>
      <w:r>
        <w:t xml:space="preserve"/>
      </w:r>
    </w:p>
    <w:p>
      <w:pPr>
        <w:pStyle w:val="CodeBlock"/>
      </w:pPr>
      <w:r>
        <w:t xml:space="preserve">Visible content here.</w:t>
      </w:r>
    </w:p>
    <w:p>
      <w:pPr>
        <w:pStyle w:val="CodeBlock"/>
      </w:pPr>
      <w:r>
        <w:t xml:space="preserve"/>
      </w:r>
    </w:p>
    <w:p>
      <w:pPr>
        <w:pStyle w:val="CodeBlock"/>
      </w:pPr>
      <w:r>
        <w:t xml:space="preserve">&lt;!-- notes: Reminder to reference the Q3 numbers and pause for questions. --&gt;</w:t>
      </w:r>
    </w:p>
    <w:p>
      <w:pPr>
        <w:pStyle w:val="Normal"/>
      </w:pPr>
      <w:r>
        <w:t xml:space="preserve">Multiple </w:t>
      </w:r>
      <w:r>
        <w:rPr>
          <w:rStyle w:val="InlineCode"/>
        </w:rPr>
        <w:t xml:space="preserve">&lt;!-- notes: --&gt;</w:t>
      </w:r>
      <w:r>
        <w:t xml:space="preserve"> comments on one slide are concatenated.</w:t>
      </w:r>
    </w:p>
    <w:p>
      <w:pPr>
        <w:pStyle w:val="Normal"/>
      </w:pPr>
      <w:r>
        <w:t xml:space="preserve">Notes attach in </w:t>
      </w:r>
      <w:r>
        <w:rPr>
          <w:b/>
        </w:rPr>
        <w:t xml:space="preserve">PPTX</w:t>
      </w:r>
      <w:r>
        <w:t xml:space="preserve"> and </w:t>
      </w:r>
      <w:r>
        <w:rPr>
          <w:b/>
        </w:rPr>
        <w:t xml:space="preserve">ODP</w:t>
      </w:r>
      <w:r>
        <w:t xml:space="preserve"> outputs (visible in Presenter View or printed as Notes Pages). DOCX and ODT outputs drop them.</w:t>
      </w:r>
    </w:p>
    <w:p>
      <w:pPr>
        <w:pStyle w:val="Normal"/>
      </w:pPr>
      <w:r>
        <w:t xml:space="preserve">For PDF, pass </w:t>
      </w:r>
      <w:r>
        <w:rPr>
          <w:rStyle w:val="InlineCode"/>
        </w:rPr>
        <w:t xml:space="preserve">--with-notes</w:t>
      </w:r>
      <w:r>
        <w:t xml:space="preserve"> to produce a presenter-friendly companion document: one A4 portrait page per slide with the slide thumbnail at the top and the speaker notes laid out below.</w:t>
      </w:r>
    </w:p>
    <w:p>
      <w:pPr>
        <w:pStyle w:val="Heading2"/>
      </w:pPr>
      <w:r>
        <w:t xml:space="preserve">How to attach notes</w:t>
      </w:r>
    </w:p>
    <w:p>
      <w:pPr>
        <w:pStyle w:val="Normal"/>
      </w:pPr>
      <w:r>
        <w:rPr>
          <w:rStyle w:val="MetaLabel"/>
        </w:rPr>
        <w:t xml:space="preserve">bash</w:t>
      </w:r>
    </w:p>
    <w:p>
      <w:pPr>
        <w:pStyle w:val="CodeBlock"/>
      </w:pPr>
      <w:r>
        <w:t xml:space="preserve">md2any talk.md --with-notes -o talk-notes.pdf</w:t>
      </w:r>
    </w:p>
    <w:p>
      <w:pPr>
        <w:pStyle w:val="Normal"/>
      </w:pPr>
      <w:r>
        <w:t xml:space="preserve">Mutually exclusive with </w:t>
      </w:r>
      <w:r>
        <w:rPr>
          <w:rStyle w:val="InlineCode"/>
        </w:rPr>
        <w:t xml:space="preserve">--handout</w:t>
      </w:r>
      <w:r>
        <w:t xml:space="preserve"> — pick one PDF post-processor at a time.</w:t>
      </w:r>
    </w:p>
    <w:p>
      <w:pPr>
        <w:pStyle w:val="Heading1"/>
      </w:pPr>
      <w:r>
        <w:t xml:space="preserve">Transitions</w:t>
      </w:r>
    </w:p>
    <w:p>
      <w:pPr>
        <w:pStyle w:val="Heading2"/>
      </w:pPr>
      <w:r>
        <w:t xml:space="preserve">Animated section changes</w:t>
      </w:r>
    </w:p>
    <w:p>
      <w:pPr>
        <w:pStyle w:val="Normal"/>
      </w:pPr>
      <w:r>
        <w:t xml:space="preserve">Set a deck-wide transition in front matter:</w:t>
      </w:r>
    </w:p>
    <w:p>
      <w:pPr>
        <w:pStyle w:val="Normal"/>
      </w:pPr>
      <w:r>
        <w:rPr>
          <w:rStyle w:val="MetaLabel"/>
        </w:rPr>
        <w:t xml:space="preserve">yaml</w:t>
      </w:r>
    </w:p>
    <w:p>
      <w:pPr>
        <w:pStyle w:val="CodeBlock"/>
      </w:pPr>
      <w:r>
        <w:t xml:space="preserve">transition: fade</w:t>
      </w:r>
    </w:p>
    <w:p>
      <w:pPr>
        <w:pStyle w:val="CodeBlock"/>
      </w:pPr>
      <w:r>
        <w:t xml:space="preserve">transition_duration: 0.6</w:t>
      </w:r>
    </w:p>
    <w:p>
      <w:pPr>
        <w:pStyle w:val="Normal"/>
      </w:pPr>
      <w:r>
        <w:t xml:space="preserve">Supported across PPTX, ODP, and PDF: </w:t>
      </w:r>
      <w:r>
        <w:rPr>
          <w:rStyle w:val="InlineCode"/>
        </w:rPr>
        <w:t xml:space="preserve">fade</w:t>
      </w:r>
      <w:r>
        <w:t xml:space="preserve">, </w:t>
      </w:r>
      <w:r>
        <w:rPr>
          <w:rStyle w:val="InlineCode"/>
        </w:rPr>
        <w:t xml:space="preserve">push</w:t>
      </w:r>
      <w:r>
        <w:t xml:space="preserve">, </w:t>
      </w:r>
      <w:r>
        <w:rPr>
          <w:rStyle w:val="InlineCode"/>
        </w:rPr>
        <w:t xml:space="preserve">wipe</w:t>
      </w:r>
      <w:r>
        <w:t xml:space="preserve">, </w:t>
      </w:r>
      <w:r>
        <w:rPr>
          <w:rStyle w:val="InlineCode"/>
        </w:rPr>
        <w:t xml:space="preserve">cover</w:t>
      </w:r>
      <w:r>
        <w:t xml:space="preserve">, </w:t>
      </w:r>
      <w:r>
        <w:rPr>
          <w:rStyle w:val="InlineCode"/>
        </w:rPr>
        <w:t xml:space="preserve">split</w:t>
      </w:r>
      <w:r>
        <w:t xml:space="preserve">. DOCX and ODT ignore transitions (they're documents, not slides).</w:t>
      </w:r>
    </w:p>
    <w:p>
      <w:pPr>
        <w:pStyle w:val="Heading1"/>
      </w:pPr>
      <w:r>
        <w:t xml:space="preserve">Internationalisation</w:t>
      </w:r>
    </w:p>
    <w:p>
      <w:pPr>
        <w:pStyle w:val="Heading2"/>
      </w:pPr>
      <w:r>
        <w:t xml:space="preserve">Right-to-left</w:t>
      </w:r>
    </w:p>
    <w:p>
      <w:pPr>
        <w:pStyle w:val="Normal"/>
      </w:pPr>
      <w:r>
        <w:rPr>
          <w:rStyle w:val="MetaLabel"/>
        </w:rPr>
        <w:t xml:space="preserve">yaml</w:t>
      </w:r>
    </w:p>
    <w:p>
      <w:pPr>
        <w:pStyle w:val="CodeBlock"/>
      </w:pPr>
      <w:r>
        <w:t xml:space="preserve">direction: rtl</w:t>
      </w:r>
    </w:p>
    <w:p>
      <w:pPr>
        <w:pStyle w:val="Normal"/>
      </w:pPr>
      <w:r>
        <w:t xml:space="preserve">Flips paragraph alignment and adds </w:t>
      </w:r>
      <w:r>
        <w:rPr>
          <w:rStyle w:val="InlineCode"/>
        </w:rPr>
        <w:t xml:space="preserve">rtl="1"</w:t>
      </w:r>
      <w:r>
        <w:t xml:space="preserve"> markers throughout PPTX and ODP output for Arabic, Hebrew, and other RTL scripts. PDF output now embeds DejaVu Sans, which covers Arabic, Hebrew, and other complex scripts at the glyph level; full bidirectional reordering and joining behaviour still depends on the viewer's PDF text layout engine.</w:t>
      </w:r>
    </w:p>
    <w:p>
      <w:pPr>
        <w:pStyle w:val="Heading2"/>
      </w:pPr>
      <w:r>
        <w:t xml:space="preserve">CJK fonts</w:t>
      </w:r>
    </w:p>
    <w:p>
      <w:pPr>
        <w:pStyle w:val="Normal"/>
      </w:pPr>
      <w:r>
        <w:t xml:space="preserve">For </w:t>
      </w:r>
      <w:r>
        <w:rPr>
          <w:b/>
        </w:rPr>
        <w:t xml:space="preserve">PPTX / ODP / DOCX / ODT</w:t>
      </w:r>
      <w:r>
        <w:t xml:space="preserve">, pass </w:t>
      </w:r>
      <w:r>
        <w:rPr>
          <w:rStyle w:val="InlineCode"/>
        </w:rPr>
        <w:t xml:space="preserve">--font</w:t>
      </w:r>
      <w:r>
        <w:t xml:space="preserve"> (or set </w:t>
      </w:r>
      <w:r>
        <w:rPr>
          <w:rStyle w:val="InlineCode"/>
        </w:rPr>
        <w:t xml:space="preserve">font:</w:t>
      </w:r>
      <w:r>
        <w:t xml:space="preserve"> in front matter) to a CJK-capable typeface — </w:t>
      </w:r>
      <w:r>
        <w:rPr>
          <w:rStyle w:val="InlineCode"/>
        </w:rPr>
        <w:t xml:space="preserve">Noto Sans CJK SC</w:t>
      </w:r>
      <w:r>
        <w:t xml:space="preserve">, </w:t>
      </w:r>
      <w:r>
        <w:rPr>
          <w:rStyle w:val="InlineCode"/>
        </w:rPr>
        <w:t xml:space="preserve">Microsoft YaHei</w:t>
      </w:r>
      <w:r>
        <w:t xml:space="preserve">, </w:t>
      </w:r>
      <w:r>
        <w:rPr>
          <w:rStyle w:val="InlineCode"/>
        </w:rPr>
        <w:t xml:space="preserve">Hiragino Sans</w:t>
      </w:r>
      <w:r>
        <w:t xml:space="preserve">, </w:t>
      </w:r>
      <w:r>
        <w:rPr>
          <w:rStyle w:val="InlineCode"/>
        </w:rPr>
        <w:t xml:space="preserve">Yu Gothic</w:t>
      </w:r>
      <w:r>
        <w:t xml:space="preserve">, etc. The slide consumer renders with that font, so Chinese / Japanese / Korean characters pass through unchanged.</w:t>
      </w:r>
    </w:p>
    <w:p>
      <w:pPr>
        <w:pStyle w:val="Normal"/>
      </w:pPr>
      <w:r>
        <w:t xml:space="preserve">For </w:t>
      </w:r>
      <w:r>
        <w:rPr>
          <w:b/>
        </w:rPr>
        <w:t xml:space="preserve">PDF</w:t>
      </w:r>
      <w:r>
        <w:t xml:space="preserve">, point </w:t>
      </w:r>
      <w:r>
        <w:rPr>
          <w:rStyle w:val="InlineCode"/>
        </w:rPr>
        <w:t xml:space="preserve">--cjk</w:t>
      </w:r>
      <w:r>
        <w:t xml:space="preserve"> at any TrueType or OpenType CJK font on disk and md2any uses it as a per-character fallback whenever DejaVu Sans can't render a glyph:</w:t>
      </w:r>
    </w:p>
    <w:p>
      <w:pPr>
        <w:pStyle w:val="Normal"/>
      </w:pPr>
      <w:r>
        <w:rPr>
          <w:rStyle w:val="MetaLabel"/>
        </w:rPr>
        <w:t xml:space="preserve">bash</w:t>
      </w:r>
    </w:p>
    <w:p>
      <w:pPr>
        <w:pStyle w:val="CodeBlock"/>
      </w:pPr>
      <w:r>
        <w:t xml:space="preserve">md2any talk.md -o talk.pdf \</w:t>
      </w:r>
    </w:p>
    <w:p>
      <w:pPr>
        <w:pStyle w:val="CodeBlock"/>
      </w:pPr>
      <w:r>
        <w:t xml:space="preserve">    --cjk /usr/share/fonts/opentype/noto/NotoSansCJK-Regular.ttc</w:t>
      </w:r>
    </w:p>
    <w:p>
      <w:pPr>
        <w:pStyle w:val="Normal"/>
      </w:pPr>
      <w:r>
        <w:t xml:space="preserve">Only the glyphs your deck actually uses are embedded (subsetting handles the rest), so a 20 MB Noto CJK source typically turns into a small KB-scale addition to the output PDF.</w:t>
      </w:r>
    </w:p>
    <w:p>
      <w:pPr>
        <w:pStyle w:val="Heading1"/>
      </w:pPr>
      <w:r>
        <w:t xml:space="preserve">Performance</w:t>
      </w:r>
    </w:p>
    <w:p>
      <w:pPr>
        <w:pStyle w:val="Heading2"/>
      </w:pPr>
      <w:r>
        <w:t xml:space="preserve">How fast is fast</w:t>
      </w:r>
    </w:p>
    <w:tbl>
      <w:tblPr>
        <w:tblW w:w="0" w:type="auto"/>
        <w:tblBorders>
          <w:top w:val="single" w:sz="4" w:color="CCCCCC"/>
          <w:left w:val="single" w:sz="4" w:color="CCCCCC"/>
          <w:bottom w:val="single" w:sz="4" w:color="CCCCCC"/>
          <w:right w:val="single" w:sz="4" w:color="CCCCCC"/>
          <w:insideH w:val="single" w:sz="4" w:color="EEEEEE"/>
          <w:insideV w:val="single" w:sz="4" w:color="EEEEEE"/>
        </w:tblBorders>
      </w:tblPr>
      <w:tblGrid>
        <w:gridCol w:w="1500"/>
        <w:gridCol w:w="1500"/>
        <w:gridCol w:w="1500"/>
        <w:gridCol w:w="1500"/>
        <w:gridCol w:w="1500"/>
        <w:gridCol w:w="1500"/>
      </w:tblGrid>
      <w:tr>
        <w:trPr>
          <w:tblHeader/>
        </w:trPr>
        <w:tc>
          <w:tcPr>
            <w:tcW w:w="1500" w:type="dxa"/>
            <w:shd w:val="clear" w:color="auto" w:fill="F1F5F9"/>
          </w:tcPr>
          <w:p>
            <w:pPr>
              <w:pStyle w:val="Normal"/>
            </w:pPr>
            <w:r>
              <w:rPr>
                <w:b/>
              </w:rPr>
              <w:t xml:space="preserve">Deck size</w:t>
            </w:r>
          </w:p>
        </w:tc>
        <w:tc>
          <w:tcPr>
            <w:tcW w:w="1500" w:type="dxa"/>
            <w:shd w:val="clear" w:color="auto" w:fill="F1F5F9"/>
          </w:tcPr>
          <w:p>
            <w:pPr>
              <w:pStyle w:val="Normal"/>
            </w:pPr>
            <w:r>
              <w:rPr>
                <w:b/>
              </w:rPr>
              <w:t xml:space="preserve">PPTX</w:t>
            </w:r>
          </w:p>
        </w:tc>
        <w:tc>
          <w:tcPr>
            <w:tcW w:w="1500" w:type="dxa"/>
            <w:shd w:val="clear" w:color="auto" w:fill="F1F5F9"/>
          </w:tcPr>
          <w:p>
            <w:pPr>
              <w:pStyle w:val="Normal"/>
            </w:pPr>
            <w:r>
              <w:rPr>
                <w:b/>
              </w:rPr>
              <w:t xml:space="preserve">ODP</w:t>
            </w:r>
          </w:p>
        </w:tc>
        <w:tc>
          <w:tcPr>
            <w:tcW w:w="1500" w:type="dxa"/>
            <w:shd w:val="clear" w:color="auto" w:fill="F1F5F9"/>
          </w:tcPr>
          <w:p>
            <w:pPr>
              <w:pStyle w:val="Normal"/>
            </w:pPr>
            <w:r>
              <w:rPr>
                <w:b/>
              </w:rPr>
              <w:t xml:space="preserve">DOCX</w:t>
            </w:r>
          </w:p>
        </w:tc>
        <w:tc>
          <w:tcPr>
            <w:tcW w:w="1500" w:type="dxa"/>
            <w:shd w:val="clear" w:color="auto" w:fill="F1F5F9"/>
          </w:tcPr>
          <w:p>
            <w:pPr>
              <w:pStyle w:val="Normal"/>
            </w:pPr>
            <w:r>
              <w:rPr>
                <w:b/>
              </w:rPr>
              <w:t xml:space="preserve">ODT</w:t>
            </w:r>
          </w:p>
        </w:tc>
        <w:tc>
          <w:tcPr>
            <w:tcW w:w="1500" w:type="dxa"/>
            <w:shd w:val="clear" w:color="auto" w:fill="F1F5F9"/>
          </w:tcPr>
          <w:p>
            <w:pPr>
              <w:pStyle w:val="Normal"/>
            </w:pPr>
            <w:r>
              <w:rPr>
                <w:b/>
              </w:rPr>
              <w:t xml:space="preserve">PDF</w:t>
            </w:r>
          </w:p>
        </w:tc>
      </w:tr>
      <w:tr>
        <w:tc>
          <w:tcPr>
            <w:tcW w:w="1500" w:type="dxa"/>
          </w:tcPr>
          <w:p>
            <w:pPr>
              <w:pStyle w:val="Normal"/>
            </w:pPr>
            <w:r>
              <w:t xml:space="preserve">30 slides</w:t>
            </w:r>
          </w:p>
        </w:tc>
        <w:tc>
          <w:tcPr>
            <w:tcW w:w="1500" w:type="dxa"/>
          </w:tcPr>
          <w:p>
            <w:pPr>
              <w:pStyle w:val="Normal"/>
            </w:pPr>
            <w:r>
              <w:t xml:space="preserve">~1 ms</w:t>
            </w:r>
          </w:p>
        </w:tc>
        <w:tc>
          <w:tcPr>
            <w:tcW w:w="1500" w:type="dxa"/>
          </w:tcPr>
          <w:p>
            <w:pPr>
              <w:pStyle w:val="Normal"/>
            </w:pPr>
            <w:r>
              <w:t xml:space="preserve">~1 ms</w:t>
            </w:r>
          </w:p>
        </w:tc>
        <w:tc>
          <w:tcPr>
            <w:tcW w:w="1500" w:type="dxa"/>
          </w:tcPr>
          <w:p>
            <w:pPr>
              <w:pStyle w:val="Normal"/>
            </w:pPr>
            <w:r>
              <w:t xml:space="preserve">~1 ms</w:t>
            </w:r>
          </w:p>
        </w:tc>
        <w:tc>
          <w:tcPr>
            <w:tcW w:w="1500" w:type="dxa"/>
          </w:tcPr>
          <w:p>
            <w:pPr>
              <w:pStyle w:val="Normal"/>
            </w:pPr>
            <w:r>
              <w:t xml:space="preserve">~1 ms</w:t>
            </w:r>
          </w:p>
        </w:tc>
        <w:tc>
          <w:tcPr>
            <w:tcW w:w="1500" w:type="dxa"/>
          </w:tcPr>
          <w:p>
            <w:pPr>
              <w:pStyle w:val="Normal"/>
            </w:pPr>
            <w:r>
              <w:t xml:space="preserve">~5 ms</w:t>
            </w:r>
          </w:p>
        </w:tc>
      </w:tr>
      <w:tr>
        <w:tc>
          <w:tcPr>
            <w:tcW w:w="1500" w:type="dxa"/>
          </w:tcPr>
          <w:p>
            <w:pPr>
              <w:pStyle w:val="Normal"/>
            </w:pPr>
            <w:r>
              <w:t xml:space="preserve">100 slides</w:t>
            </w:r>
          </w:p>
        </w:tc>
        <w:tc>
          <w:tcPr>
            <w:tcW w:w="1500" w:type="dxa"/>
          </w:tcPr>
          <w:p>
            <w:pPr>
              <w:pStyle w:val="Normal"/>
            </w:pPr>
            <w:r>
              <w:t xml:space="preserve">~3 ms</w:t>
            </w:r>
          </w:p>
        </w:tc>
        <w:tc>
          <w:tcPr>
            <w:tcW w:w="1500" w:type="dxa"/>
          </w:tcPr>
          <w:p>
            <w:pPr>
              <w:pStyle w:val="Normal"/>
            </w:pPr>
            <w:r>
              <w:t xml:space="preserve">~2 ms</w:t>
            </w:r>
          </w:p>
        </w:tc>
        <w:tc>
          <w:tcPr>
            <w:tcW w:w="1500" w:type="dxa"/>
          </w:tcPr>
          <w:p>
            <w:pPr>
              <w:pStyle w:val="Normal"/>
            </w:pPr>
            <w:r>
              <w:t xml:space="preserve">~2 ms</w:t>
            </w:r>
          </w:p>
        </w:tc>
        <w:tc>
          <w:tcPr>
            <w:tcW w:w="1500" w:type="dxa"/>
          </w:tcPr>
          <w:p>
            <w:pPr>
              <w:pStyle w:val="Normal"/>
            </w:pPr>
            <w:r>
              <w:t xml:space="preserve">~2 ms</w:t>
            </w:r>
          </w:p>
        </w:tc>
        <w:tc>
          <w:tcPr>
            <w:tcW w:w="1500" w:type="dxa"/>
          </w:tcPr>
          <w:p>
            <w:pPr>
              <w:pStyle w:val="Normal"/>
            </w:pPr>
            <w:r>
              <w:t xml:space="preserve">~12 ms</w:t>
            </w:r>
          </w:p>
        </w:tc>
      </w:tr>
      <w:tr>
        <w:tc>
          <w:tcPr>
            <w:tcW w:w="1500" w:type="dxa"/>
          </w:tcPr>
          <w:p>
            <w:pPr>
              <w:pStyle w:val="Normal"/>
            </w:pPr>
            <w:r>
              <w:t xml:space="preserve">1000 slides</w:t>
            </w:r>
          </w:p>
        </w:tc>
        <w:tc>
          <w:tcPr>
            <w:tcW w:w="1500" w:type="dxa"/>
          </w:tcPr>
          <w:p>
            <w:pPr>
              <w:pStyle w:val="Normal"/>
            </w:pPr>
            <w:r>
              <w:t xml:space="preserve">~30 ms</w:t>
            </w:r>
          </w:p>
        </w:tc>
        <w:tc>
          <w:tcPr>
            <w:tcW w:w="1500" w:type="dxa"/>
          </w:tcPr>
          <w:p>
            <w:pPr>
              <w:pStyle w:val="Normal"/>
            </w:pPr>
            <w:r>
              <w:t xml:space="preserve">~25 ms</w:t>
            </w:r>
          </w:p>
        </w:tc>
        <w:tc>
          <w:tcPr>
            <w:tcW w:w="1500" w:type="dxa"/>
          </w:tcPr>
          <w:p>
            <w:pPr>
              <w:pStyle w:val="Normal"/>
            </w:pPr>
            <w:r>
              <w:t xml:space="preserve">~20 ms</w:t>
            </w:r>
          </w:p>
        </w:tc>
        <w:tc>
          <w:tcPr>
            <w:tcW w:w="1500" w:type="dxa"/>
          </w:tcPr>
          <w:p>
            <w:pPr>
              <w:pStyle w:val="Normal"/>
            </w:pPr>
            <w:r>
              <w:t xml:space="preserve">~20 ms</w:t>
            </w:r>
          </w:p>
        </w:tc>
        <w:tc>
          <w:tcPr>
            <w:tcW w:w="1500" w:type="dxa"/>
          </w:tcPr>
          <w:p>
            <w:pPr>
              <w:pStyle w:val="Normal"/>
            </w:pPr>
            <w:r>
              <w:t xml:space="preserve">~120 ms</w:t>
            </w:r>
          </w:p>
        </w:tc>
      </w:tr>
    </w:tbl>
    <w:p>
      <w:pPr>
        <w:pStyle w:val="Normal"/>
      </w:pPr>
      <w:r>
        <w:t xml:space="preserve">Numbers from a commodity x86-64. PDF is slower than PPTX/ODP/DOCX/ODT because of PNG decode and per-token text positioning.</w:t>
      </w:r>
    </w:p>
    <w:p>
      <w:pPr>
        <w:pStyle w:val="Normal"/>
      </w:pPr>
      <w:r>
        <w:t xml:space="preserve">Cold start is dominated by binary load, not parsing.</w:t>
      </w:r>
    </w:p>
    <w:p>
      <w:pPr>
        <w:pStyle w:val="Heading1"/>
      </w:pPr>
      <w:r>
        <w:t xml:space="preserve">Limitations</w:t>
      </w:r>
    </w:p>
    <w:p>
      <w:pPr>
        <w:pStyle w:val="Heading2"/>
      </w:pPr>
      <w:r>
        <w:t xml:space="preserve">What md2any is not</w:t>
      </w:r>
    </w:p>
    <w:p>
      <w:pPr>
        <w:pStyle w:val="Normal"/>
      </w:pPr>
      <w:r>
        <w:t xml:space="preserve">md2any is a focused artifact generator, not a general-purpose document toolchain. If your needs go beyond the list below, you probably want a different tool:</w:t>
      </w:r>
    </w:p>
    <w:p>
      <w:pPr>
        <w:pStyle w:val="ListParagraph"/>
        <w:numPr>
          <w:ilvl w:val="0"/>
          <w:numId w:val="1"/>
        </w:numPr>
      </w:pPr>
      <w:r>
        <w:rPr>
          <w:b/>
        </w:rPr>
        <w:t xml:space="preserve">Not Pandoc.</w:t>
      </w:r>
      <w:r>
        <w:t xml:space="preserve"> No </w:t>
      </w:r>
      <w:r>
        <w:rPr>
          <w:rStyle w:val="InlineCode"/>
        </w:rPr>
        <w:t xml:space="preserve">--from</w:t>
      </w:r>
      <w:r>
        <w:t xml:space="preserve">/</w:t>
      </w:r>
      <w:r>
        <w:rPr>
          <w:rStyle w:val="InlineCode"/>
        </w:rPr>
        <w:t xml:space="preserve">--to</w:t>
      </w:r>
      <w:r>
        <w:t xml:space="preserve"> arbitrary format conversion, no Lua filters, no templating engine, no bibliography/citation handling, no cross-reference tracking, no extension-rich Markdown dialects (CommonMark + GFM tables + the small md2any-specific directives are the whole grammar).</w:t>
      </w:r>
    </w:p>
    <w:p>
      <w:pPr>
        <w:pStyle w:val="ListParagraph"/>
        <w:numPr>
          <w:ilvl w:val="0"/>
          <w:numId w:val="1"/>
        </w:numPr>
      </w:pPr>
      <w:r>
        <w:rPr>
          <w:b/>
        </w:rPr>
        <w:t xml:space="preserve">Not Quarto.</w:t>
      </w:r>
      <w:r>
        <w:t xml:space="preserve"> No literate execution, no R/Python/Julia code execution at build time, no notebook ingestion, no website / book project structure, no observable cells.</w:t>
      </w:r>
    </w:p>
    <w:p>
      <w:pPr>
        <w:pStyle w:val="ListParagraph"/>
        <w:numPr>
          <w:ilvl w:val="0"/>
          <w:numId w:val="1"/>
        </w:numPr>
      </w:pPr>
      <w:r>
        <w:rPr>
          <w:b/>
        </w:rPr>
        <w:t xml:space="preserve">Not a TeX engine.</w:t>
      </w:r>
      <w:r>
        <w:t xml:space="preserve"> Math support is the Unicode subset documented in the Math reference — no stacked fractions, no matrix environments, no aligned equations, no equation numbering.</w:t>
      </w:r>
    </w:p>
    <w:p>
      <w:pPr>
        <w:pStyle w:val="ListParagraph"/>
        <w:numPr>
          <w:ilvl w:val="0"/>
          <w:numId w:val="1"/>
        </w:numPr>
      </w:pPr>
      <w:r>
        <w:rPr>
          <w:b/>
        </w:rPr>
        <w:t xml:space="preserve">Not a layout DSL.</w:t>
      </w:r>
      <w:r>
        <w:t xml:space="preserve"> Per-slide layout has a couple of opt-in directives; if you need fine-grained per-element positioning, build the deck in PowerPoint or Keynote directly.</w:t>
      </w:r>
    </w:p>
    <w:p>
      <w:pPr>
        <w:pStyle w:val="Heading2"/>
      </w:pPr>
      <w:r>
        <w:t xml:space="preserve">What md2any is not</w:t>
      </w:r>
    </w:p>
    <w:p>
      <w:pPr>
        <w:pStyle w:val="Normal"/>
      </w:pPr>
      <w:r>
        <w:t xml:space="preserve">Pandoc is the general converter. Quarto is a publishing system. md2any is a one-binary artifact generator for the narrower case of "I have one Markdown file and I want all five common deliverable formats out the other side."</w:t>
      </w:r>
    </w:p>
    <w:p>
      <w:pPr>
        <w:pStyle w:val="Heading2"/>
      </w:pPr>
      <w:r>
        <w:t xml:space="preserve">What's not supported</w:t>
      </w:r>
    </w:p>
    <w:p>
      <w:pPr>
        <w:pStyle w:val="ListParagraph"/>
        <w:numPr>
          <w:ilvl w:val="0"/>
          <w:numId w:val="1"/>
        </w:numPr>
      </w:pPr>
      <w:r>
        <w:t xml:space="preserve">GIF and WebP images (PNG, JPEG, and SVG are supported)</w:t>
      </w:r>
    </w:p>
    <w:p>
      <w:pPr>
        <w:pStyle w:val="ListParagraph"/>
        <w:numPr>
          <w:ilvl w:val="0"/>
          <w:numId w:val="1"/>
        </w:numPr>
      </w:pPr>
      <w:r>
        <w:t xml:space="preserve">Embedded HTML beyond the notes / bg / column-break / layout directives</w:t>
      </w:r>
    </w:p>
    <w:p>
      <w:pPr>
        <w:pStyle w:val="ListParagraph"/>
        <w:numPr>
          <w:ilvl w:val="0"/>
          <w:numId w:val="1"/>
        </w:numPr>
      </w:pPr>
      <w:r>
        <w:t xml:space="preserve">Speaker notes inside DOCX / ODT (PPTX / ODP attach them natively; PDF gets them via </w:t>
      </w:r>
      <w:r>
        <w:rPr>
          <w:rStyle w:val="InlineCode"/>
        </w:rPr>
        <w:t xml:space="preserve">--with-notes</w:t>
      </w:r>
      <w:r>
        <w:t xml:space="preserve">)</w:t>
      </w:r>
    </w:p>
    <w:p>
      <w:pPr>
        <w:pStyle w:val="ListParagraph"/>
        <w:numPr>
          <w:ilvl w:val="0"/>
          <w:numId w:val="1"/>
        </w:numPr>
      </w:pPr>
      <w:r>
        <w:t xml:space="preserve">Custom font embedding in PDF — </w:t>
      </w:r>
      <w:r>
        <w:rPr>
          <w:rStyle w:val="InlineCode"/>
        </w:rPr>
        <w:t xml:space="preserve">--font</w:t>
      </w:r>
      <w:r>
        <w:t xml:space="preserve"> is honoured for PPTX / ODP / DOCX / ODT only; PDF always uses bundled DejaVu Sans + an optional </w:t>
      </w:r>
      <w:r>
        <w:rPr>
          <w:rStyle w:val="InlineCode"/>
        </w:rPr>
        <w:t xml:space="preserve">--cjk</w:t>
      </w:r>
      <w:r>
        <w:t xml:space="preserve"> fallback</w:t>
      </w:r>
    </w:p>
    <w:p>
      <w:pPr>
        <w:pStyle w:val="ListParagraph"/>
        <w:numPr>
          <w:ilvl w:val="0"/>
          <w:numId w:val="1"/>
        </w:numPr>
      </w:pPr>
      <w:r>
        <w:t xml:space="preserve">Citations / bibliographies / cross-references — no </w:t>
      </w:r>
      <w:r>
        <w:rPr>
          <w:rStyle w:val="InlineCode"/>
        </w:rPr>
        <w:t xml:space="preserve">[@cite]</w:t>
      </w:r>
      <w:r>
        <w:t xml:space="preserve"> parsing, no </w:t>
      </w:r>
      <w:r>
        <w:rPr>
          <w:rStyle w:val="InlineCode"/>
        </w:rPr>
        <w:t xml:space="preserve">\ref{}</w:t>
      </w:r>
      <w:r>
        <w:t xml:space="preserve">, no auto-generated reference list</w:t>
      </w:r>
    </w:p>
    <w:p>
      <w:pPr>
        <w:pStyle w:val="ListParagraph"/>
        <w:numPr>
          <w:ilvl w:val="0"/>
          <w:numId w:val="1"/>
        </w:numPr>
      </w:pPr>
      <w:r>
        <w:t xml:space="preserve">Diagram rendering requires the corresponding CLI on </w:t>
      </w:r>
      <w:r>
        <w:rPr>
          <w:rStyle w:val="InlineCode"/>
        </w:rPr>
        <w:t xml:space="preserve">$PATH</w:t>
      </w:r>
      <w:r>
        <w:t xml:space="preserve"> (</w:t>
      </w:r>
      <w:r>
        <w:rPr>
          <w:rStyle w:val="InlineCode"/>
        </w:rPr>
        <w:t xml:space="preserve">dot</w:t>
      </w:r>
      <w:r>
        <w:t xml:space="preserve"> / </w:t>
      </w:r>
      <w:r>
        <w:rPr>
          <w:rStyle w:val="InlineCode"/>
        </w:rPr>
        <w:t xml:space="preserve">mmdc</w:t>
      </w:r>
      <w:r>
        <w:t xml:space="preserve"> / </w:t>
      </w:r>
      <w:r>
        <w:rPr>
          <w:rStyle w:val="InlineCode"/>
        </w:rPr>
        <w:t xml:space="preserve">plantuml</w:t>
      </w:r>
      <w:r>
        <w:t xml:space="preserve">). When absent, the fence stays as a regular code block — md2any never bundles diagram engines</w:t>
      </w:r>
    </w:p>
    <w:p>
      <w:pPr>
        <w:pStyle w:val="ListParagraph"/>
        <w:numPr>
          <w:ilvl w:val="0"/>
          <w:numId w:val="1"/>
        </w:numPr>
      </w:pPr>
      <w:r>
        <w:t xml:space="preserve">DOCX / ODT are flowing documents, not slide carriers. Section breaks come from H1; everything else flows. Pagination is the consumer app's job</w:t>
      </w:r>
    </w:p>
    <w:p>
      <w:pPr>
        <w:pStyle w:val="Heading2"/>
      </w:pPr>
      <w:r>
        <w:t xml:space="preserve">Honest tradeoffs in PDF</w:t>
      </w:r>
    </w:p>
    <w:p>
      <w:pPr>
        <w:pStyle w:val="Normal"/>
      </w:pPr>
      <w:r>
        <w:t xml:space="preserve">PDF output uses DejaVu Sans + DejaVu Sans Mono, embedded inside the md2any binary (~3 MB of the binary footprint). This buys Unicode coverage across Greek, Cyrillic, math operators, sub/superscripts, and most of European Latin without depending on the viewer's installed fonts. Other font families (Calibri etc.) are not bundled; </w:t>
      </w:r>
      <w:r>
        <w:rPr>
          <w:rStyle w:val="InlineCode"/>
        </w:rPr>
        <w:t xml:space="preserve">--font</w:t>
      </w:r>
      <w:r>
        <w:t xml:space="preserve"> is honoured for PPTX/ODP/DOCX/ODT but not for PDF.</w:t>
      </w:r>
    </w:p>
    <w:p>
      <w:pPr>
        <w:pStyle w:val="Normal"/>
      </w:pPr>
      <w:r>
        <w:t xml:space="preserve">Font subsetting is automatic — each PDF embeds only the glyphs that deck actually uses, not the full 3 MB face. This manual (135 slides, heavy on tables and math) lands under 400 KB; a typical talk-sized deck is well under 200 KB even with code, tables, and the full Greek / math toolbox.</w:t>
      </w:r>
    </w:p>
    <w:p>
      <w:pPr>
        <w:pStyle w:val="Normal"/>
      </w:pPr>
      <w:r>
        <w:t xml:space="preserve">Inline code in PDF is rendered with DejaVu Sans Mono — slightly different from Consolas in PPTX/ODP. Visually noticeable to designers, irrelevant to readers.</w:t>
      </w:r>
    </w:p>
    <w:p>
      <w:pPr>
        <w:pStyle w:val="Normal"/>
      </w:pPr>
      <w:r>
        <w:t xml:space="preserve">Editability is gone in PDF. That's the entire point of the PDF format.</w:t>
      </w:r>
    </w:p>
    <w:p>
      <w:pPr>
        <w:pStyle w:val="Heading2"/>
      </w:pPr>
      <w:r>
        <w:t xml:space="preserve">Bundled font licence</w:t>
      </w:r>
    </w:p>
    <w:p>
      <w:pPr>
        <w:pStyle w:val="Normal"/>
      </w:pPr>
      <w:r>
        <w:t xml:space="preserve">The DejaVu / Bitstream Vera / Arev font licence requires that the notice travels with the font programs. Because the font bytes are embedded in the binary, md2any ships the full notice inside the executable too — print it any time with:</w:t>
      </w:r>
    </w:p>
    <w:p>
      <w:pPr>
        <w:pStyle w:val="Normal"/>
      </w:pPr>
      <w:r>
        <w:rPr>
          <w:rStyle w:val="MetaLabel"/>
        </w:rPr>
        <w:t xml:space="preserve">bash</w:t>
      </w:r>
    </w:p>
    <w:p>
      <w:pPr>
        <w:pStyle w:val="CodeBlock"/>
      </w:pPr>
      <w:r>
        <w:t xml:space="preserve">md2any licenses</w:t>
      </w:r>
    </w:p>
    <w:p>
      <w:pPr>
        <w:pStyle w:val="Normal"/>
      </w:pPr>
      <w:r>
        <w:t xml:space="preserve">Distributors building release archives that include only the standalone binary should include </w:t>
      </w:r>
      <w:r>
        <w:rPr>
          <w:rStyle w:val="InlineCode"/>
        </w:rPr>
        <w:t xml:space="preserve">assets/fonts/LICENSE.md</w:t>
      </w:r>
      <w:r>
        <w:t xml:space="preserve"> (or the output of </w:t>
      </w:r>
      <w:r>
        <w:rPr>
          <w:rStyle w:val="InlineCode"/>
        </w:rPr>
        <w:t xml:space="preserve">md2any licenses</w:t>
      </w:r>
      <w:r>
        <w:t xml:space="preserve">) alongside it in the archive or release notes.</w:t>
      </w:r>
    </w:p>
    <w:p>
      <w:pPr>
        <w:pStyle w:val="Heading2"/>
      </w:pPr>
      <w:r>
        <w:t xml:space="preserve">Viewer compatibility</w:t>
      </w:r>
    </w:p>
    <w:tbl>
      <w:tblPr>
        <w:tblW w:w="0" w:type="auto"/>
        <w:tblBorders>
          <w:top w:val="single" w:sz="4" w:color="CCCCCC"/>
          <w:left w:val="single" w:sz="4" w:color="CCCCCC"/>
          <w:bottom w:val="single" w:sz="4" w:color="CCCCCC"/>
          <w:right w:val="single" w:sz="4" w:color="CCCCCC"/>
          <w:insideH w:val="single" w:sz="4" w:color="EEEEEE"/>
          <w:insideV w:val="single" w:sz="4" w:color="EEEEEE"/>
        </w:tblBorders>
      </w:tblPr>
      <w:tblGrid>
        <w:gridCol w:w="3000"/>
        <w:gridCol w:w="3000"/>
        <w:gridCol w:w="3000"/>
      </w:tblGrid>
      <w:tr>
        <w:trPr>
          <w:tblHeader/>
        </w:trPr>
        <w:tc>
          <w:tcPr>
            <w:tcW w:w="3000" w:type="dxa"/>
            <w:shd w:val="clear" w:color="auto" w:fill="F1F5F9"/>
          </w:tcPr>
          <w:p>
            <w:pPr>
              <w:pStyle w:val="Normal"/>
            </w:pPr>
            <w:r>
              <w:rPr>
                <w:b/>
              </w:rPr>
              <w:t xml:space="preserve">Format</w:t>
            </w:r>
          </w:p>
        </w:tc>
        <w:tc>
          <w:tcPr>
            <w:tcW w:w="3000" w:type="dxa"/>
            <w:shd w:val="clear" w:color="auto" w:fill="F1F5F9"/>
          </w:tcPr>
          <w:p>
            <w:pPr>
              <w:pStyle w:val="Normal"/>
            </w:pPr>
            <w:r>
              <w:rPr>
                <w:b/>
              </w:rPr>
              <w:t xml:space="preserve">Tool / viewer</w:t>
            </w:r>
          </w:p>
        </w:tc>
        <w:tc>
          <w:tcPr>
            <w:tcW w:w="3000" w:type="dxa"/>
            <w:shd w:val="clear" w:color="auto" w:fill="F1F5F9"/>
          </w:tcPr>
          <w:p>
            <w:pPr>
              <w:pStyle w:val="Normal"/>
            </w:pPr>
            <w:r>
              <w:rPr>
                <w:b/>
              </w:rPr>
              <w:t xml:space="preserve">Status</w:t>
            </w:r>
          </w:p>
        </w:tc>
      </w:tr>
      <w:tr>
        <w:tc>
          <w:tcPr>
            <w:tcW w:w="3000" w:type="dxa"/>
          </w:tcPr>
          <w:p>
            <w:pPr>
              <w:pStyle w:val="Normal"/>
            </w:pPr>
            <w:r>
              <w:t xml:space="preserve">PPTX</w:t>
            </w:r>
          </w:p>
        </w:tc>
        <w:tc>
          <w:tcPr>
            <w:tcW w:w="3000" w:type="dxa"/>
          </w:tcPr>
          <w:p>
            <w:pPr>
              <w:pStyle w:val="Normal"/>
            </w:pPr>
            <w:r>
              <w:t xml:space="preserve">Microsoft PowerPoint (Win/Mac)</w:t>
            </w:r>
          </w:p>
        </w:tc>
        <w:tc>
          <w:tcPr>
            <w:tcW w:w="3000" w:type="dxa"/>
          </w:tcPr>
          <w:p>
            <w:pPr>
              <w:pStyle w:val="Normal"/>
            </w:pPr>
            <w:r>
              <w:rPr>
                <w:b/>
              </w:rPr>
              <w:t xml:space="preserve">Verified.</w:t>
            </w:r>
            <w:r>
              <w:t xml:space="preserve"> Renders with Calibri / Calibri Light installed.</w:t>
            </w:r>
          </w:p>
        </w:tc>
      </w:tr>
      <w:tr>
        <w:tc>
          <w:tcPr>
            <w:tcW w:w="3000" w:type="dxa"/>
          </w:tcPr>
          <w:p>
            <w:pPr>
              <w:pStyle w:val="Normal"/>
            </w:pPr>
            <w:r>
              <w:t xml:space="preserve">PPTX</w:t>
            </w:r>
          </w:p>
        </w:tc>
        <w:tc>
          <w:tcPr>
            <w:tcW w:w="3000" w:type="dxa"/>
          </w:tcPr>
          <w:p>
            <w:pPr>
              <w:pStyle w:val="Normal"/>
            </w:pPr>
            <w:r>
              <w:t xml:space="preserve">Keynote (macOS)</w:t>
            </w:r>
          </w:p>
        </w:tc>
        <w:tc>
          <w:tcPr>
            <w:tcW w:w="3000" w:type="dxa"/>
          </w:tcPr>
          <w:p>
            <w:pPr>
              <w:pStyle w:val="Normal"/>
            </w:pPr>
            <w:r>
              <w:rPr>
                <w:b/>
              </w:rPr>
              <w:t xml:space="preserve">Expected.</w:t>
            </w:r>
            <w:r>
              <w:t xml:space="preserve"> Opens via standard OOXML import; font substitution applies if Calibri absent.</w:t>
            </w:r>
          </w:p>
        </w:tc>
      </w:tr>
      <w:tr>
        <w:tc>
          <w:tcPr>
            <w:tcW w:w="3000" w:type="dxa"/>
          </w:tcPr>
          <w:p>
            <w:pPr>
              <w:pStyle w:val="Normal"/>
            </w:pPr>
            <w:r>
              <w:t xml:space="preserve">PPTX</w:t>
            </w:r>
          </w:p>
        </w:tc>
        <w:tc>
          <w:tcPr>
            <w:tcW w:w="3000" w:type="dxa"/>
          </w:tcPr>
          <w:p>
            <w:pPr>
              <w:pStyle w:val="Normal"/>
            </w:pPr>
            <w:r>
              <w:t xml:space="preserve">LibreOffice Impress</w:t>
            </w:r>
          </w:p>
        </w:tc>
        <w:tc>
          <w:tcPr>
            <w:tcW w:w="3000" w:type="dxa"/>
          </w:tcPr>
          <w:p>
            <w:pPr>
              <w:pStyle w:val="Normal"/>
            </w:pPr>
            <w:r>
              <w:rPr>
                <w:b/>
              </w:rPr>
              <w:t xml:space="preserve">Verified.</w:t>
            </w:r>
            <w:r>
              <w:t xml:space="preserve"> Calibri substituted to Carlito; layout near-identical.</w:t>
            </w:r>
          </w:p>
        </w:tc>
      </w:tr>
      <w:tr>
        <w:tc>
          <w:tcPr>
            <w:tcW w:w="3000" w:type="dxa"/>
          </w:tcPr>
          <w:p>
            <w:pPr>
              <w:pStyle w:val="Normal"/>
            </w:pPr>
            <w:r>
              <w:t xml:space="preserve">PPTX</w:t>
            </w:r>
          </w:p>
        </w:tc>
        <w:tc>
          <w:tcPr>
            <w:tcW w:w="3000" w:type="dxa"/>
          </w:tcPr>
          <w:p>
            <w:pPr>
              <w:pStyle w:val="Normal"/>
            </w:pPr>
            <w:r>
              <w:t xml:space="preserve">Google Slides (web)</w:t>
            </w:r>
          </w:p>
        </w:tc>
        <w:tc>
          <w:tcPr>
            <w:tcW w:w="3000" w:type="dxa"/>
          </w:tcPr>
          <w:p>
            <w:pPr>
              <w:pStyle w:val="Normal"/>
            </w:pPr>
            <w:r>
              <w:rPr>
                <w:b/>
              </w:rPr>
              <w:t xml:space="preserve">Expected.</w:t>
            </w:r>
            <w:r>
              <w:t xml:space="preserve"> Upload via Drive; theme survives, font substitution applies.</w:t>
            </w:r>
          </w:p>
        </w:tc>
      </w:tr>
      <w:tr>
        <w:tc>
          <w:tcPr>
            <w:tcW w:w="3000" w:type="dxa"/>
          </w:tcPr>
          <w:p>
            <w:pPr>
              <w:pStyle w:val="Normal"/>
            </w:pPr>
            <w:r>
              <w:t xml:space="preserve">ODP</w:t>
            </w:r>
          </w:p>
        </w:tc>
        <w:tc>
          <w:tcPr>
            <w:tcW w:w="3000" w:type="dxa"/>
          </w:tcPr>
          <w:p>
            <w:pPr>
              <w:pStyle w:val="Normal"/>
            </w:pPr>
            <w:r>
              <w:t xml:space="preserve">LibreOffice Impress</w:t>
            </w:r>
          </w:p>
        </w:tc>
        <w:tc>
          <w:tcPr>
            <w:tcW w:w="3000" w:type="dxa"/>
          </w:tcPr>
          <w:p>
            <w:pPr>
              <w:pStyle w:val="Normal"/>
            </w:pPr>
            <w:r>
              <w:rPr>
                <w:b/>
              </w:rPr>
              <w:t xml:space="preserve">Verified.</w:t>
            </w:r>
            <w:r>
              <w:t xml:space="preserve"> Reference renderer; opens natively.</w:t>
            </w:r>
          </w:p>
        </w:tc>
      </w:tr>
      <w:tr>
        <w:tc>
          <w:tcPr>
            <w:tcW w:w="3000" w:type="dxa"/>
          </w:tcPr>
          <w:p>
            <w:pPr>
              <w:pStyle w:val="Normal"/>
            </w:pPr>
            <w:r>
              <w:t xml:space="preserve">ODP</w:t>
            </w:r>
          </w:p>
        </w:tc>
        <w:tc>
          <w:tcPr>
            <w:tcW w:w="3000" w:type="dxa"/>
          </w:tcPr>
          <w:p>
            <w:pPr>
              <w:pStyle w:val="Normal"/>
            </w:pPr>
            <w:r>
              <w:t xml:space="preserve">Keynote</w:t>
            </w:r>
          </w:p>
        </w:tc>
        <w:tc>
          <w:tcPr>
            <w:tcW w:w="3000" w:type="dxa"/>
          </w:tcPr>
          <w:p>
            <w:pPr>
              <w:pStyle w:val="Normal"/>
            </w:pPr>
            <w:r>
              <w:rPr>
                <w:b/>
              </w:rPr>
              <w:t xml:space="preserve">Partial.</w:t>
            </w:r>
            <w:r>
              <w:t xml:space="preserve"> Opens but loses some theme details on import.</w:t>
            </w:r>
          </w:p>
        </w:tc>
      </w:tr>
      <w:tr>
        <w:tc>
          <w:tcPr>
            <w:tcW w:w="3000" w:type="dxa"/>
          </w:tcPr>
          <w:p>
            <w:pPr>
              <w:pStyle w:val="Normal"/>
            </w:pPr>
            <w:r>
              <w:t xml:space="preserve">ODP</w:t>
            </w:r>
          </w:p>
        </w:tc>
        <w:tc>
          <w:tcPr>
            <w:tcW w:w="3000" w:type="dxa"/>
          </w:tcPr>
          <w:p>
            <w:pPr>
              <w:pStyle w:val="Normal"/>
            </w:pPr>
            <w:r>
              <w:t xml:space="preserve">Microsoft PowerPoint</w:t>
            </w:r>
          </w:p>
        </w:tc>
        <w:tc>
          <w:tcPr>
            <w:tcW w:w="3000" w:type="dxa"/>
          </w:tcPr>
          <w:p>
            <w:pPr>
              <w:pStyle w:val="Normal"/>
            </w:pPr>
            <w:r>
              <w:rPr>
                <w:b/>
              </w:rPr>
              <w:t xml:space="preserve">Partial.</w:t>
            </w:r>
            <w:r>
              <w:t xml:space="preserve"> Imports via ODF support; image fidelity OK, theme drifts.</w:t>
            </w:r>
          </w:p>
        </w:tc>
      </w:tr>
      <w:tr>
        <w:tc>
          <w:tcPr>
            <w:tcW w:w="3000" w:type="dxa"/>
          </w:tcPr>
          <w:p>
            <w:pPr>
              <w:pStyle w:val="Normal"/>
            </w:pPr>
            <w:r>
              <w:t xml:space="preserve">PDF</w:t>
            </w:r>
          </w:p>
        </w:tc>
        <w:tc>
          <w:tcPr>
            <w:tcW w:w="3000" w:type="dxa"/>
          </w:tcPr>
          <w:p>
            <w:pPr>
              <w:pStyle w:val="Normal"/>
            </w:pPr>
            <w:r>
              <w:t xml:space="preserve">Any standards-compliant viewer</w:t>
            </w:r>
          </w:p>
        </w:tc>
        <w:tc>
          <w:tcPr>
            <w:tcW w:w="3000" w:type="dxa"/>
          </w:tcPr>
          <w:p>
            <w:pPr>
              <w:pStyle w:val="Normal"/>
            </w:pPr>
            <w:r>
              <w:rPr>
                <w:b/>
              </w:rPr>
              <w:t xml:space="preserve">Verified.</w:t>
            </w:r>
            <w:r>
              <w:t xml:space="preserve"> Self-contained — DejaVu Sans + CJK fallback embedded.</w:t>
            </w:r>
          </w:p>
        </w:tc>
      </w:tr>
      <w:tr>
        <w:tc>
          <w:tcPr>
            <w:tcW w:w="3000" w:type="dxa"/>
          </w:tcPr>
          <w:p>
            <w:pPr>
              <w:pStyle w:val="Normal"/>
            </w:pPr>
            <w:r>
              <w:t xml:space="preserve">DOCX</w:t>
            </w:r>
          </w:p>
        </w:tc>
        <w:tc>
          <w:tcPr>
            <w:tcW w:w="3000" w:type="dxa"/>
          </w:tcPr>
          <w:p>
            <w:pPr>
              <w:pStyle w:val="Normal"/>
            </w:pPr>
            <w:r>
              <w:t xml:space="preserve">Microsoft Word</w:t>
            </w:r>
          </w:p>
        </w:tc>
        <w:tc>
          <w:tcPr>
            <w:tcW w:w="3000" w:type="dxa"/>
          </w:tcPr>
          <w:p>
            <w:pPr>
              <w:pStyle w:val="Normal"/>
            </w:pPr>
            <w:r>
              <w:rPr>
                <w:b/>
              </w:rPr>
              <w:t xml:space="preserve">Verified.</w:t>
            </w:r>
            <w:r>
              <w:t xml:space="preserve"> Standard OOXML; opens cleanly.</w:t>
            </w:r>
          </w:p>
        </w:tc>
      </w:tr>
    </w:tbl>
    <w:p>
      <w:pPr>
        <w:pStyle w:val="Heading2"/>
      </w:pPr>
      <w:r>
        <w:t xml:space="preserve">Viewer compatibility</w:t>
      </w:r>
    </w:p>
    <w:tbl>
      <w:tblPr>
        <w:tblW w:w="0" w:type="auto"/>
        <w:tblBorders>
          <w:top w:val="single" w:sz="4" w:color="CCCCCC"/>
          <w:left w:val="single" w:sz="4" w:color="CCCCCC"/>
          <w:bottom w:val="single" w:sz="4" w:color="CCCCCC"/>
          <w:right w:val="single" w:sz="4" w:color="CCCCCC"/>
          <w:insideH w:val="single" w:sz="4" w:color="EEEEEE"/>
          <w:insideV w:val="single" w:sz="4" w:color="EEEEEE"/>
        </w:tblBorders>
      </w:tblPr>
      <w:tblGrid>
        <w:gridCol w:w="3000"/>
        <w:gridCol w:w="3000"/>
        <w:gridCol w:w="3000"/>
      </w:tblGrid>
      <w:tr>
        <w:trPr>
          <w:tblHeader/>
        </w:trPr>
        <w:tc>
          <w:tcPr>
            <w:tcW w:w="3000" w:type="dxa"/>
            <w:shd w:val="clear" w:color="auto" w:fill="F1F5F9"/>
          </w:tcPr>
          <w:p>
            <w:pPr>
              <w:pStyle w:val="Normal"/>
            </w:pPr>
            <w:r>
              <w:rPr>
                <w:b/>
              </w:rPr>
              <w:t xml:space="preserve">Format</w:t>
            </w:r>
          </w:p>
        </w:tc>
        <w:tc>
          <w:tcPr>
            <w:tcW w:w="3000" w:type="dxa"/>
            <w:shd w:val="clear" w:color="auto" w:fill="F1F5F9"/>
          </w:tcPr>
          <w:p>
            <w:pPr>
              <w:pStyle w:val="Normal"/>
            </w:pPr>
            <w:r>
              <w:rPr>
                <w:b/>
              </w:rPr>
              <w:t xml:space="preserve">Tool / viewer</w:t>
            </w:r>
          </w:p>
        </w:tc>
        <w:tc>
          <w:tcPr>
            <w:tcW w:w="3000" w:type="dxa"/>
            <w:shd w:val="clear" w:color="auto" w:fill="F1F5F9"/>
          </w:tcPr>
          <w:p>
            <w:pPr>
              <w:pStyle w:val="Normal"/>
            </w:pPr>
            <w:r>
              <w:rPr>
                <w:b/>
              </w:rPr>
              <w:t xml:space="preserve">Status</w:t>
            </w:r>
          </w:p>
        </w:tc>
      </w:tr>
      <w:tr>
        <w:tc>
          <w:tcPr>
            <w:tcW w:w="3000" w:type="dxa"/>
          </w:tcPr>
          <w:p>
            <w:pPr>
              <w:pStyle w:val="Normal"/>
            </w:pPr>
            <w:r>
              <w:t xml:space="preserve">DOCX</w:t>
            </w:r>
          </w:p>
        </w:tc>
        <w:tc>
          <w:tcPr>
            <w:tcW w:w="3000" w:type="dxa"/>
          </w:tcPr>
          <w:p>
            <w:pPr>
              <w:pStyle w:val="Normal"/>
            </w:pPr>
            <w:r>
              <w:t xml:space="preserve">LibreOffice Writer</w:t>
            </w:r>
          </w:p>
        </w:tc>
        <w:tc>
          <w:tcPr>
            <w:tcW w:w="3000" w:type="dxa"/>
          </w:tcPr>
          <w:p>
            <w:pPr>
              <w:pStyle w:val="Normal"/>
            </w:pPr>
            <w:r>
              <w:rPr>
                <w:b/>
              </w:rPr>
              <w:t xml:space="preserve">Verified.</w:t>
            </w:r>
            <w:r>
              <w:t xml:space="preserve"> Via headless render. Mixed bullet/number lists kept.</w:t>
            </w:r>
          </w:p>
        </w:tc>
      </w:tr>
      <w:tr>
        <w:tc>
          <w:tcPr>
            <w:tcW w:w="3000" w:type="dxa"/>
          </w:tcPr>
          <w:p>
            <w:pPr>
              <w:pStyle w:val="Normal"/>
            </w:pPr>
            <w:r>
              <w:t xml:space="preserve">DOCX</w:t>
            </w:r>
          </w:p>
        </w:tc>
        <w:tc>
          <w:tcPr>
            <w:tcW w:w="3000" w:type="dxa"/>
          </w:tcPr>
          <w:p>
            <w:pPr>
              <w:pStyle w:val="Normal"/>
            </w:pPr>
            <w:r>
              <w:t xml:space="preserve">Google Docs</w:t>
            </w:r>
          </w:p>
        </w:tc>
        <w:tc>
          <w:tcPr>
            <w:tcW w:w="3000" w:type="dxa"/>
          </w:tcPr>
          <w:p>
            <w:pPr>
              <w:pStyle w:val="Normal"/>
            </w:pPr>
            <w:r>
              <w:rPr>
                <w:b/>
              </w:rPr>
              <w:t xml:space="preserve">Expected.</w:t>
            </w:r>
            <w:r>
              <w:t xml:space="preserve"> Upload via Drive; styles preserved.</w:t>
            </w:r>
          </w:p>
        </w:tc>
      </w:tr>
      <w:tr>
        <w:tc>
          <w:tcPr>
            <w:tcW w:w="3000" w:type="dxa"/>
          </w:tcPr>
          <w:p>
            <w:pPr>
              <w:pStyle w:val="Normal"/>
            </w:pPr>
            <w:r>
              <w:t xml:space="preserve">ODT</w:t>
            </w:r>
          </w:p>
        </w:tc>
        <w:tc>
          <w:tcPr>
            <w:tcW w:w="3000" w:type="dxa"/>
          </w:tcPr>
          <w:p>
            <w:pPr>
              <w:pStyle w:val="Normal"/>
            </w:pPr>
            <w:r>
              <w:t xml:space="preserve">LibreOffice Writer</w:t>
            </w:r>
          </w:p>
        </w:tc>
        <w:tc>
          <w:tcPr>
            <w:tcW w:w="3000" w:type="dxa"/>
          </w:tcPr>
          <w:p>
            <w:pPr>
              <w:pStyle w:val="Normal"/>
            </w:pPr>
            <w:r>
              <w:rPr>
                <w:b/>
              </w:rPr>
              <w:t xml:space="preserve">Verified.</w:t>
            </w:r>
            <w:r>
              <w:t xml:space="preserve"> Reference renderer.</w:t>
            </w:r>
          </w:p>
        </w:tc>
      </w:tr>
      <w:tr>
        <w:tc>
          <w:tcPr>
            <w:tcW w:w="3000" w:type="dxa"/>
          </w:tcPr>
          <w:p>
            <w:pPr>
              <w:pStyle w:val="Normal"/>
            </w:pPr>
            <w:r>
              <w:t xml:space="preserve">ODT</w:t>
            </w:r>
          </w:p>
        </w:tc>
        <w:tc>
          <w:tcPr>
            <w:tcW w:w="3000" w:type="dxa"/>
          </w:tcPr>
          <w:p>
            <w:pPr>
              <w:pStyle w:val="Normal"/>
            </w:pPr>
            <w:r>
              <w:t xml:space="preserve">Microsoft Word</w:t>
            </w:r>
          </w:p>
        </w:tc>
        <w:tc>
          <w:tcPr>
            <w:tcW w:w="3000" w:type="dxa"/>
          </w:tcPr>
          <w:p>
            <w:pPr>
              <w:pStyle w:val="Normal"/>
            </w:pPr>
            <w:r>
              <w:rPr>
                <w:b/>
              </w:rPr>
              <w:t xml:space="preserve">Partial.</w:t>
            </w:r>
            <w:r>
              <w:t xml:space="preserve"> Word's ODF import is decent for body text; some style names mapped lossily.</w:t>
            </w:r>
          </w:p>
        </w:tc>
      </w:tr>
    </w:tbl>
    <w:p>
      <w:pPr>
        <w:pStyle w:val="Normal"/>
      </w:pPr>
      <w:r>
        <w:t xml:space="preserve">"Verified" = exercised by the renderer test suite and/or manually opened. "Expected" = standards-compliant format, should work but not part of routine testing. "Partial" = opens, but with known fidelity caveats listed alongside.</w:t>
      </w:r>
    </w:p>
    <w:p>
      <w:pPr>
        <w:pStyle w:val="Heading1"/>
      </w:pPr>
      <w:r>
        <w:t xml:space="preserve">Tips</w:t>
      </w:r>
    </w:p>
    <w:p>
      <w:pPr>
        <w:pStyle w:val="Heading2"/>
      </w:pPr>
      <w:r>
        <w:t xml:space="preserve">Pick a layout, commit</w:t>
      </w:r>
    </w:p>
    <w:p>
      <w:pPr>
        <w:pStyle w:val="Normal"/>
      </w:pPr>
      <w:r>
        <w:t xml:space="preserve">A 30-slide deck that mixes layouts mid-flow feels chaotic. Pick </w:t>
      </w:r>
      <w:r>
        <w:rPr>
          <w:rStyle w:val="InlineCode"/>
        </w:rPr>
        <w:t xml:space="preserve">clean</w:t>
      </w:r>
      <w:r>
        <w:t xml:space="preserve">, </w:t>
      </w:r>
      <w:r>
        <w:rPr>
          <w:rStyle w:val="InlineCode"/>
        </w:rPr>
        <w:t xml:space="preserve">studio</w:t>
      </w:r>
      <w:r>
        <w:t xml:space="preserve">, </w:t>
      </w:r>
      <w:r>
        <w:rPr>
          <w:rStyle w:val="InlineCode"/>
        </w:rPr>
        <w:t xml:space="preserve">frame</w:t>
      </w:r>
      <w:r>
        <w:t xml:space="preserve">, or </w:t>
      </w:r>
      <w:r>
        <w:rPr>
          <w:rStyle w:val="InlineCode"/>
        </w:rPr>
        <w:t xml:space="preserve">bold</w:t>
      </w:r>
      <w:r>
        <w:t xml:space="preserve"> at the top of the file and don't change it.</w:t>
      </w:r>
    </w:p>
    <w:p>
      <w:pPr>
        <w:pStyle w:val="Normal"/>
      </w:pPr>
      <w:r>
        <w:t xml:space="preserve">If you want to A/B compare, run it twice with </w:t>
      </w:r>
      <w:r>
        <w:rPr>
          <w:rStyle w:val="InlineCode"/>
        </w:rPr>
        <w:t xml:space="preserve">--layout</w:t>
      </w:r>
      <w:r>
        <w:t xml:space="preserve">. Same Markdown, different output names.</w:t>
      </w:r>
    </w:p>
    <w:p>
      <w:pPr>
        <w:pStyle w:val="Heading2"/>
      </w:pPr>
      <w:r>
        <w:t xml:space="preserve">Keep titles tight</w:t>
      </w:r>
    </w:p>
    <w:p>
      <w:pPr>
        <w:pStyle w:val="Normal"/>
      </w:pPr>
      <w:r>
        <w:t xml:space="preserve">The title bar has a fixed height. A 20-word H2 will overflow or scale uncomfortably. Aim for 3 to 7 words. Sub-headings on the same slide can carry the longer phrasing.</w:t>
      </w:r>
    </w:p>
    <w:p>
      <w:pPr>
        <w:pStyle w:val="Heading2"/>
      </w:pPr>
      <w:r>
        <w:t xml:space="preserve">Use ::: columns sparingly</w:t>
      </w:r>
    </w:p>
    <w:p>
      <w:pPr>
        <w:pStyle w:val="Normal"/>
      </w:pPr>
      <w:r>
        <w:t xml:space="preserve">Columns work well for comparisons and quick cross-references. Don't put every slide in columns — the visual rhythm flattens.</w:t>
      </w:r>
    </w:p>
    <w:p>
      <w:pPr>
        <w:pStyle w:val="Heading2"/>
      </w:pPr>
      <w:r>
        <w:t xml:space="preserve">Author once, deliver everywhere</w:t>
      </w:r>
    </w:p>
    <w:p>
      <w:pPr>
        <w:pStyle w:val="Normal"/>
      </w:pPr>
      <w:r>
        <w:t xml:space="preserve">Use </w:t>
      </w:r>
      <w:r>
        <w:rPr>
          <w:rStyle w:val="InlineCode"/>
        </w:rPr>
        <w:t xml:space="preserve">--watch</w:t>
      </w:r>
      <w:r>
        <w:t xml:space="preserve"> + </w:t>
      </w:r>
      <w:r>
        <w:rPr>
          <w:rStyle w:val="InlineCode"/>
        </w:rPr>
        <w:t xml:space="preserve">--serve</w:t>
      </w:r>
      <w:r>
        <w:t xml:space="preserve"> during authoring, then on release:</w:t>
      </w:r>
    </w:p>
    <w:p>
      <w:pPr>
        <w:pStyle w:val="Normal"/>
      </w:pPr>
      <w:r>
        <w:rPr>
          <w:rStyle w:val="MetaLabel"/>
        </w:rPr>
        <w:t xml:space="preserve">bash</w:t>
      </w:r>
    </w:p>
    <w:p>
      <w:pPr>
        <w:pStyle w:val="CodeBlock"/>
      </w:pPr>
      <w:r>
        <w:t xml:space="preserve">md2any talk.md -o talk.pptx                # speaker copy</w:t>
      </w:r>
    </w:p>
    <w:p>
      <w:pPr>
        <w:pStyle w:val="CodeBlock"/>
      </w:pPr>
      <w:r>
        <w:t xml:space="preserve">md2any talk.md -o talk.pdf                 # archive</w:t>
      </w:r>
    </w:p>
    <w:p>
      <w:pPr>
        <w:pStyle w:val="CodeBlock"/>
      </w:pPr>
      <w:r>
        <w:t xml:space="preserve">md2any talk.md -o talk.docx                # written companion</w:t>
      </w:r>
    </w:p>
    <w:p>
      <w:pPr>
        <w:pStyle w:val="CodeBlock"/>
      </w:pPr>
      <w:r>
        <w:t xml:space="preserve">md2any talk.md --handout 4 -o talk-handout.pdf  # printed handout</w:t>
      </w:r>
    </w:p>
    <w:p>
      <w:pPr>
        <w:pStyle w:val="Normal"/>
      </w:pPr>
      <w:r>
        <w:t xml:space="preserve">Same source, four artefacts. Update the markdown; everything regenerates in milliseconds.</w:t>
      </w:r>
    </w:p>
    <w:p>
      <w:pPr>
        <w:pStyle w:val="Heading1"/>
      </w:pPr>
      <w:r>
        <w:t xml:space="preserve">Showcase</w:t>
      </w:r>
    </w:p>
    <w:p>
      <w:pPr>
        <w:pStyle w:val="Heading2"/>
      </w:pPr>
      <w:r>
        <w:t xml:space="preserve">What md2any can do, on one screen</w:t>
      </w:r>
    </w:p>
    <w:p>
      <w:pPr>
        <w:pStyle w:val="Normal"/>
      </w:pPr>
      <w:r>
        <w:t xml:space="preserve">The remaining slides exercise every feature on real content. If the format you're reading this in renders every page below cleanly, your toolchain is set up correctly.</w:t>
      </w:r>
    </w:p>
    <w:p>
      <w:pPr>
        <w:pStyle w:val="Heading2"/>
      </w:pPr>
      <w:r>
        <w:t xml:space="preserve">Math — Greek and Hebrew</w:t>
      </w:r>
    </w:p>
    <w:p>
      <w:pPr>
        <w:pStyle w:val="Normal"/>
      </w:pPr>
      <w:r>
        <w:rPr>
          <w:i/>
        </w:rPr>
        <w:t xml:space="preserve">α, β, γ, δ, ε, ζ, η, θ, ι, κ, λ, μ, ν, ξ, π, ρ, σ, τ, υ, φ, χ, ψ, ω</w:t>
      </w:r>
    </w:p>
    <w:p>
      <w:pPr>
        <w:pStyle w:val="Normal"/>
      </w:pPr>
      <w:r>
        <w:rPr>
          <w:i/>
        </w:rPr>
        <w:t xml:space="preserve">Γ, Δ, Θ, Λ, Ξ, Π, Σ, Φ, Ψ, Ω</w:t>
      </w:r>
    </w:p>
    <w:p>
      <w:pPr>
        <w:pStyle w:val="Normal"/>
      </w:pPr>
      <w:r>
        <w:rPr>
          <w:i/>
        </w:rPr>
        <w:t xml:space="preserve">ℵ₀, ℵ₁, ℵ₂ …</w:t>
      </w:r>
    </w:p>
    <w:p>
      <w:pPr>
        <w:pStyle w:val="Heading2"/>
      </w:pPr>
      <w:r>
        <w:t xml:space="preserve">Math — operators and relations</w:t>
      </w:r>
    </w:p>
    <w:p>
      <w:pPr>
        <w:pStyle w:val="Normal"/>
      </w:pPr>
      <w:r>
        <w:rPr>
          <w:i/>
        </w:rPr>
        <w:t xml:space="preserve">∑ᵢ₌₁ⁿ i = (n(n+1))/(2)</w:t>
      </w:r>
    </w:p>
    <w:p>
      <w:pPr>
        <w:pStyle w:val="Normal"/>
      </w:pPr>
      <w:r>
        <w:rPr>
          <w:i/>
        </w:rPr>
        <w:t xml:space="preserve">∏ₖ₌₁ⁿ k = n!</w:t>
      </w:r>
    </w:p>
    <w:p>
      <w:pPr>
        <w:pStyle w:val="Normal"/>
      </w:pPr>
      <w:r>
        <w:rPr>
          <w:i/>
        </w:rPr>
        <w:t xml:space="preserve">∫ₐᵇ f(x)  dx = F(b) - F(a)</w:t>
      </w:r>
    </w:p>
    <w:p>
      <w:pPr>
        <w:pStyle w:val="Normal"/>
      </w:pPr>
      <w:r>
        <w:rPr>
          <w:i/>
        </w:rPr>
        <w:t xml:space="preserve">∇·E = ρ/ ε₀</w:t>
      </w:r>
      <w:r>
        <w:t xml:space="preserve"> (Gauss's law)</w:t>
      </w:r>
    </w:p>
    <w:p>
      <w:pPr>
        <w:pStyle w:val="Normal"/>
      </w:pPr>
      <w:r>
        <w:rPr>
          <w:i/>
        </w:rPr>
        <w:t xml:space="preserve">a ≤b ≠c ≥d ≈e ≡f ∝g</w:t>
      </w:r>
    </w:p>
    <w:p>
      <w:pPr>
        <w:pStyle w:val="Normal"/>
      </w:pPr>
      <w:r>
        <w:rPr>
          <w:i/>
        </w:rPr>
        <w:t xml:space="preserve">∀ε&gt; 0,\ ∃δ&gt; 0 : |x - x₀| &lt; δ⇒|f(x) - f(x₀)| &lt; ε</w:t>
      </w:r>
    </w:p>
    <w:p>
      <w:pPr>
        <w:pStyle w:val="Heading2"/>
      </w:pPr>
      <w:r>
        <w:t xml:space="preserve">Math — fractions, roots, binomials</w:t>
      </w:r>
    </w:p>
    <w:p>
      <w:pPr>
        <w:pStyle w:val="Normal"/>
      </w:pPr>
      <w:r>
        <w:t xml:space="preserve">Pythagorean: </w:t>
      </w:r>
      <w:r>
        <w:rPr>
          <w:i/>
        </w:rPr>
        <w:t xml:space="preserve">c = √(a² + b²)</w:t>
      </w:r>
    </w:p>
    <w:p>
      <w:pPr>
        <w:pStyle w:val="Normal"/>
      </w:pPr>
      <w:r>
        <w:t xml:space="preserve">Quadratic: </w:t>
      </w:r>
      <w:r>
        <w:rPr>
          <w:i/>
        </w:rPr>
        <w:t xml:space="preserve">x = (-b ±√(b² - 4ac))/(2a)</w:t>
      </w:r>
    </w:p>
    <w:p>
      <w:pPr>
        <w:pStyle w:val="Normal"/>
      </w:pPr>
      <w:r>
        <w:t xml:space="preserve">Choose: </w:t>
      </w:r>
      <w:r>
        <w:rPr>
          <w:i/>
        </w:rPr>
        <w:t xml:space="preserve">C(n, k) = (n!)/(k! (n-k)!)</w:t>
      </w:r>
    </w:p>
    <w:p>
      <w:pPr>
        <w:pStyle w:val="Normal"/>
      </w:pPr>
      <w:r>
        <w:t xml:space="preserve">Golden ratio: </w:t>
      </w:r>
      <w:r>
        <w:rPr>
          <w:i/>
        </w:rPr>
        <w:t xml:space="preserve">φ= (1 + √(5))/(2)</w:t>
      </w:r>
    </w:p>
    <w:p>
      <w:pPr>
        <w:pStyle w:val="Normal"/>
      </w:pPr>
      <w:r>
        <w:t xml:space="preserve">Geometric series: </w:t>
      </w:r>
      <w:r>
        <w:rPr>
          <w:i/>
        </w:rPr>
        <w:t xml:space="preserve">∑ₙ₌₀^∞ rⁿ = (1)/(1 - r),   |r| &lt; 1</w:t>
      </w:r>
    </w:p>
    <w:p>
      <w:pPr>
        <w:pStyle w:val="Heading2"/>
      </w:pPr>
      <w:r>
        <w:t xml:space="preserve">Math — famous equations</w:t>
      </w:r>
    </w:p>
    <w:p>
      <w:pPr>
        <w:pStyle w:val="Normal"/>
      </w:pPr>
      <w:r>
        <w:t xml:space="preserve">Euler's identity:</w:t>
      </w:r>
    </w:p>
    <w:p>
      <w:pPr>
        <w:pStyle w:val="Normal"/>
      </w:pPr>
      <w:r>
        <w:rPr>
          <w:i/>
        </w:rPr>
        <w:t xml:space="preserve">e^(iπ) + 1 = 0</w:t>
      </w:r>
    </w:p>
    <w:p>
      <w:pPr>
        <w:pStyle w:val="Normal"/>
      </w:pPr>
      <w:r>
        <w:t xml:space="preserve">Cauchy–Schwarz:</w:t>
      </w:r>
    </w:p>
    <w:p>
      <w:pPr>
        <w:pStyle w:val="Normal"/>
      </w:pPr>
      <w:r>
        <w:rPr>
          <w:i/>
        </w:rPr>
        <w:t xml:space="preserve">( ∑ᵢ₌₁ⁿ aᵢ bᵢ )² ≤( ∑ᵢ₌₁ⁿ aᵢ² ) ( ∑ᵢ₌₁ⁿ bᵢ² )</w:t>
      </w:r>
    </w:p>
    <w:p>
      <w:pPr>
        <w:pStyle w:val="Normal"/>
      </w:pPr>
      <w:r>
        <w:t xml:space="preserve">Heisenberg uncertainty:</w:t>
      </w:r>
    </w:p>
    <w:p>
      <w:pPr>
        <w:pStyle w:val="Normal"/>
      </w:pPr>
      <w:r>
        <w:rPr>
          <w:i/>
        </w:rPr>
        <w:t xml:space="preserve">σₓ σₚ ≥(ℏ)/(2)</w:t>
      </w:r>
    </w:p>
    <w:p>
      <w:pPr>
        <w:pStyle w:val="Heading2"/>
      </w:pPr>
      <w:r>
        <w:t xml:space="preserve">Code — Rust</w:t>
      </w:r>
    </w:p>
    <w:p>
      <w:pPr>
        <w:pStyle w:val="Normal"/>
      </w:pPr>
      <w:r>
        <w:rPr>
          <w:rStyle w:val="MetaLabel"/>
        </w:rPr>
        <w:t xml:space="preserve">rust</w:t>
      </w:r>
    </w:p>
    <w:p>
      <w:pPr>
        <w:pStyle w:val="CodeBlock"/>
      </w:pPr>
      <w:r>
        <w:t xml:space="preserve">use std::collections::HashMap;</w:t>
      </w:r>
    </w:p>
    <w:p>
      <w:pPr>
        <w:pStyle w:val="CodeBlock"/>
      </w:pPr>
      <w:r>
        <w:t xml:space="preserve"/>
      </w:r>
    </w:p>
    <w:p>
      <w:pPr>
        <w:pStyle w:val="CodeBlock"/>
      </w:pPr>
      <w:r>
        <w:t xml:space="preserve">#[derive(Debug, Clone)]</w:t>
      </w:r>
    </w:p>
    <w:p>
      <w:pPr>
        <w:pStyle w:val="CodeBlock"/>
      </w:pPr>
      <w:r>
        <w:t xml:space="preserve">pub struct Counter&lt;K: Eq + std::hash::Hash&gt; {</w:t>
      </w:r>
    </w:p>
    <w:p>
      <w:pPr>
        <w:pStyle w:val="CodeBlock"/>
      </w:pPr>
      <w:r>
        <w:t xml:space="preserve">    items: HashMap&lt;K, usize&gt;,</w:t>
      </w:r>
    </w:p>
    <w:p>
      <w:pPr>
        <w:pStyle w:val="CodeBlock"/>
      </w:pPr>
      <w:r>
        <w:t xml:space="preserve">}</w:t>
      </w:r>
    </w:p>
    <w:p>
      <w:pPr>
        <w:pStyle w:val="CodeBlock"/>
      </w:pPr>
      <w:r>
        <w:t xml:space="preserve"/>
      </w:r>
    </w:p>
    <w:p>
      <w:pPr>
        <w:pStyle w:val="CodeBlock"/>
      </w:pPr>
      <w:r>
        <w:t xml:space="preserve">impl&lt;K: Eq + std::hash::Hash&gt; Counter&lt;K&gt; {</w:t>
      </w:r>
    </w:p>
    <w:p>
      <w:pPr>
        <w:pStyle w:val="CodeBlock"/>
      </w:pPr>
      <w:r>
        <w:t xml:space="preserve">    pub fn new() -&gt; Self {</w:t>
      </w:r>
    </w:p>
    <w:p>
      <w:pPr>
        <w:pStyle w:val="CodeBlock"/>
      </w:pPr>
      <w:r>
        <w:t xml:space="preserve">        Self { items: HashMap::new() }</w:t>
      </w:r>
    </w:p>
    <w:p>
      <w:pPr>
        <w:pStyle w:val="CodeBlock"/>
      </w:pPr>
      <w:r>
        <w:t xml:space="preserve">    }</w:t>
      </w:r>
    </w:p>
    <w:p>
      <w:pPr>
        <w:pStyle w:val="CodeBlock"/>
      </w:pPr>
      <w:r>
        <w:t xml:space="preserve"/>
      </w:r>
    </w:p>
    <w:p>
      <w:pPr>
        <w:pStyle w:val="CodeBlock"/>
      </w:pPr>
      <w:r>
        <w:t xml:space="preserve">    pub fn bump(&amp;mut self, k: K) -&gt; usize {</w:t>
      </w:r>
    </w:p>
    <w:p>
      <w:pPr>
        <w:pStyle w:val="CodeBlock"/>
      </w:pPr>
      <w:r>
        <w:t xml:space="preserve">        let n = self.items.entry(k).or_insert(0);</w:t>
      </w:r>
    </w:p>
    <w:p>
      <w:pPr>
        <w:pStyle w:val="CodeBlock"/>
      </w:pPr>
      <w:r>
        <w:t xml:space="preserve">        *n += 1;</w:t>
      </w:r>
    </w:p>
    <w:p>
      <w:pPr>
        <w:pStyle w:val="CodeBlock"/>
      </w:pPr>
      <w:r>
        <w:t xml:space="preserve">        *n</w:t>
      </w:r>
    </w:p>
    <w:p>
      <w:pPr>
        <w:pStyle w:val="CodeBlock"/>
      </w:pPr>
      <w:r>
        <w:t xml:space="preserve">    }</w:t>
      </w:r>
    </w:p>
    <w:p>
      <w:pPr>
        <w:pStyle w:val="CodeBlock"/>
      </w:pPr>
      <w:r>
        <w:t xml:space="preserve">}</w:t>
      </w:r>
    </w:p>
    <w:p>
      <w:pPr>
        <w:pStyle w:val="Heading2"/>
      </w:pPr>
      <w:r>
        <w:t xml:space="preserve">Code — Rust</w:t>
      </w:r>
    </w:p>
    <w:p>
      <w:pPr>
        <w:pStyle w:val="Normal"/>
      </w:pPr>
      <w:r>
        <w:rPr>
          <w:rStyle w:val="MetaLabel"/>
        </w:rPr>
        <w:t xml:space="preserve">rust</w:t>
      </w:r>
    </w:p>
    <w:p>
      <w:pPr>
        <w:pStyle w:val="CodeBlock"/>
      </w:pPr>
      <w:r>
        <w:t xml:space="preserve"/>
      </w:r>
    </w:p>
    <w:p>
      <w:pPr>
        <w:pStyle w:val="CodeBlock"/>
      </w:pPr>
      <w:r>
        <w:t xml:space="preserve">fn main() {</w:t>
      </w:r>
    </w:p>
    <w:p>
      <w:pPr>
        <w:pStyle w:val="CodeBlock"/>
      </w:pPr>
      <w:r>
        <w:t xml:space="preserve">    let mut c = Counter::new();</w:t>
      </w:r>
    </w:p>
    <w:p>
      <w:pPr>
        <w:pStyle w:val="CodeBlock"/>
      </w:pPr>
      <w:r>
        <w:t xml:space="preserve">    for word in "the quick brown fox jumps over the lazy dog".split_whitespace() {</w:t>
      </w:r>
    </w:p>
    <w:p>
      <w:pPr>
        <w:pStyle w:val="CodeBlock"/>
      </w:pPr>
      <w:r>
        <w:t xml:space="preserve">        c.bump(word);</w:t>
      </w:r>
    </w:p>
    <w:p>
      <w:pPr>
        <w:pStyle w:val="CodeBlock"/>
      </w:pPr>
      <w:r>
        <w:t xml:space="preserve">    }</w:t>
      </w:r>
    </w:p>
    <w:p>
      <w:pPr>
        <w:pStyle w:val="CodeBlock"/>
      </w:pPr>
      <w:r>
        <w:t xml:space="preserve">    println!("{:?}", c);</w:t>
      </w:r>
    </w:p>
    <w:p>
      <w:pPr>
        <w:pStyle w:val="CodeBlock"/>
      </w:pPr>
      <w:r>
        <w:t xml:space="preserve">}</w:t>
      </w:r>
    </w:p>
    <w:p>
      <w:pPr>
        <w:pStyle w:val="Heading2"/>
      </w:pPr>
      <w:r>
        <w:t xml:space="preserve">Code — Python</w:t>
      </w:r>
    </w:p>
    <w:p>
      <w:pPr>
        <w:pStyle w:val="Normal"/>
      </w:pPr>
      <w:r>
        <w:rPr>
          <w:rStyle w:val="MetaLabel"/>
        </w:rPr>
        <w:t xml:space="preserve">python</w:t>
      </w:r>
    </w:p>
    <w:p>
      <w:pPr>
        <w:pStyle w:val="CodeBlock"/>
      </w:pPr>
      <w:r>
        <w:t xml:space="preserve">from dataclasses import dataclass</w:t>
      </w:r>
    </w:p>
    <w:p>
      <w:pPr>
        <w:pStyle w:val="CodeBlock"/>
      </w:pPr>
      <w:r>
        <w:t xml:space="preserve">from typing import Iterable</w:t>
      </w:r>
    </w:p>
    <w:p>
      <w:pPr>
        <w:pStyle w:val="CodeBlock"/>
      </w:pPr>
      <w:r>
        <w:t xml:space="preserve"/>
      </w:r>
    </w:p>
    <w:p>
      <w:pPr>
        <w:pStyle w:val="CodeBlock"/>
      </w:pPr>
      <w:r>
        <w:t xml:space="preserve">@dataclass</w:t>
      </w:r>
    </w:p>
    <w:p>
      <w:pPr>
        <w:pStyle w:val="CodeBlock"/>
      </w:pPr>
      <w:r>
        <w:t xml:space="preserve">class Page:</w:t>
      </w:r>
    </w:p>
    <w:p>
      <w:pPr>
        <w:pStyle w:val="CodeBlock"/>
      </w:pPr>
      <w:r>
        <w:t xml:space="preserve">    title: str</w:t>
      </w:r>
    </w:p>
    <w:p>
      <w:pPr>
        <w:pStyle w:val="CodeBlock"/>
      </w:pPr>
      <w:r>
        <w:t xml:space="preserve">    words: int</w:t>
      </w:r>
    </w:p>
    <w:p>
      <w:pPr>
        <w:pStyle w:val="CodeBlock"/>
      </w:pPr>
      <w:r>
        <w:t xml:space="preserve"/>
      </w:r>
    </w:p>
    <w:p>
      <w:pPr>
        <w:pStyle w:val="CodeBlock"/>
      </w:pPr>
      <w:r>
        <w:t xml:space="preserve">def summary(pages: Iterable[Page]) -&gt; dict[str, int]:</w:t>
      </w:r>
    </w:p>
    <w:p>
      <w:pPr>
        <w:pStyle w:val="CodeBlock"/>
      </w:pPr>
      <w:r>
        <w:t xml:space="preserve">    """Aggregate page stats by title prefix."""</w:t>
      </w:r>
    </w:p>
    <w:p>
      <w:pPr>
        <w:pStyle w:val="CodeBlock"/>
      </w:pPr>
      <w:r>
        <w:t xml:space="preserve">    out: dict[str, int] = {}</w:t>
      </w:r>
    </w:p>
    <w:p>
      <w:pPr>
        <w:pStyle w:val="CodeBlock"/>
      </w:pPr>
      <w:r>
        <w:t xml:space="preserve">    for p in pages:</w:t>
      </w:r>
    </w:p>
    <w:p>
      <w:pPr>
        <w:pStyle w:val="CodeBlock"/>
      </w:pPr>
      <w:r>
        <w:t xml:space="preserve">        bucket = p.title.split()[0]</w:t>
      </w:r>
    </w:p>
    <w:p>
      <w:pPr>
        <w:pStyle w:val="CodeBlock"/>
      </w:pPr>
      <w:r>
        <w:t xml:space="preserve">        out[bucket] = out.get(bucket, 0) + p.words</w:t>
      </w:r>
    </w:p>
    <w:p>
      <w:pPr>
        <w:pStyle w:val="CodeBlock"/>
      </w:pPr>
      <w:r>
        <w:t xml:space="preserve">    return out</w:t>
      </w:r>
    </w:p>
    <w:p>
      <w:pPr>
        <w:pStyle w:val="CodeBlock"/>
      </w:pPr>
      <w:r>
        <w:t xml:space="preserve"/>
      </w:r>
    </w:p>
    <w:p>
      <w:pPr>
        <w:pStyle w:val="CodeBlock"/>
      </w:pPr>
      <w:r>
        <w:t xml:space="preserve">if __name__ == "__main__":</w:t>
      </w:r>
    </w:p>
    <w:p>
      <w:pPr>
        <w:pStyle w:val="CodeBlock"/>
      </w:pPr>
      <w:r>
        <w:t xml:space="preserve">    pages = [Page("Intro to Rust", 1200), Page("Intro to Go", 980)]</w:t>
      </w:r>
    </w:p>
    <w:p>
      <w:pPr>
        <w:pStyle w:val="CodeBlock"/>
      </w:pPr>
      <w:r>
        <w:t xml:space="preserve">    print(summary(pages))</w:t>
      </w:r>
    </w:p>
    <w:p>
      <w:pPr>
        <w:pStyle w:val="Heading2"/>
      </w:pPr>
      <w:r>
        <w:t xml:space="preserve">Code — TypeScript</w:t>
      </w:r>
    </w:p>
    <w:p>
      <w:pPr>
        <w:pStyle w:val="Normal"/>
      </w:pPr>
      <w:r>
        <w:rPr>
          <w:rStyle w:val="MetaLabel"/>
        </w:rPr>
        <w:t xml:space="preserve">typescript</w:t>
      </w:r>
    </w:p>
    <w:p>
      <w:pPr>
        <w:pStyle w:val="CodeBlock"/>
      </w:pPr>
      <w:r>
        <w:t xml:space="preserve">type Result&lt;T, E&gt; = { ok: true; value: T } | { ok: false; err: E };</w:t>
      </w:r>
    </w:p>
    <w:p>
      <w:pPr>
        <w:pStyle w:val="CodeBlock"/>
      </w:pPr>
      <w:r>
        <w:t xml:space="preserve"/>
      </w:r>
    </w:p>
    <w:p>
      <w:pPr>
        <w:pStyle w:val="CodeBlock"/>
      </w:pPr>
      <w:r>
        <w:t xml:space="preserve">async function fetchJson&lt;T&gt;(url: string): Promise&lt;Result&lt;T, string&gt;&gt; {</w:t>
      </w:r>
    </w:p>
    <w:p>
      <w:pPr>
        <w:pStyle w:val="CodeBlock"/>
      </w:pPr>
      <w:r>
        <w:t xml:space="preserve">  const res = await fetch(url);</w:t>
      </w:r>
    </w:p>
    <w:p>
      <w:pPr>
        <w:pStyle w:val="CodeBlock"/>
      </w:pPr>
      <w:r>
        <w:t xml:space="preserve">  if (!res.ok) return { ok: false, err: `HTTP ${res.status}` };</w:t>
      </w:r>
    </w:p>
    <w:p>
      <w:pPr>
        <w:pStyle w:val="CodeBlock"/>
      </w:pPr>
      <w:r>
        <w:t xml:space="preserve">  try {</w:t>
      </w:r>
    </w:p>
    <w:p>
      <w:pPr>
        <w:pStyle w:val="CodeBlock"/>
      </w:pPr>
      <w:r>
        <w:t xml:space="preserve">    const value = (await res.json()) as T;</w:t>
      </w:r>
    </w:p>
    <w:p>
      <w:pPr>
        <w:pStyle w:val="CodeBlock"/>
      </w:pPr>
      <w:r>
        <w:t xml:space="preserve">    return { ok: true, value };</w:t>
      </w:r>
    </w:p>
    <w:p>
      <w:pPr>
        <w:pStyle w:val="CodeBlock"/>
      </w:pPr>
      <w:r>
        <w:t xml:space="preserve">  } catch (e) {</w:t>
      </w:r>
    </w:p>
    <w:p>
      <w:pPr>
        <w:pStyle w:val="CodeBlock"/>
      </w:pPr>
      <w:r>
        <w:t xml:space="preserve">    return { ok: false, err: String(e) };</w:t>
      </w:r>
    </w:p>
    <w:p>
      <w:pPr>
        <w:pStyle w:val="CodeBlock"/>
      </w:pPr>
      <w:r>
        <w:t xml:space="preserve">  }</w:t>
      </w:r>
    </w:p>
    <w:p>
      <w:pPr>
        <w:pStyle w:val="CodeBlock"/>
      </w:pPr>
      <w:r>
        <w:t xml:space="preserve">}</w:t>
      </w:r>
    </w:p>
    <w:p>
      <w:pPr>
        <w:pStyle w:val="CodeBlock"/>
      </w:pPr>
      <w:r>
        <w:t xml:space="preserve"/>
      </w:r>
    </w:p>
    <w:p>
      <w:pPr>
        <w:pStyle w:val="CodeBlock"/>
      </w:pPr>
      <w:r>
        <w:t xml:space="preserve">const r = await fetchJson&lt;{ name: string }&gt;("/api/me");</w:t>
      </w:r>
    </w:p>
    <w:p>
      <w:pPr>
        <w:pStyle w:val="CodeBlock"/>
      </w:pPr>
      <w:r>
        <w:t xml:space="preserve">console.log(r.ok ? `hello ${r.value.name}` : `oops: ${r.err}`);</w:t>
      </w:r>
    </w:p>
    <w:p>
      <w:pPr>
        <w:pStyle w:val="Heading2"/>
      </w:pPr>
      <w:r>
        <w:t xml:space="preserve">Code — Go</w:t>
      </w:r>
    </w:p>
    <w:p>
      <w:pPr>
        <w:pStyle w:val="Normal"/>
      </w:pPr>
      <w:r>
        <w:rPr>
          <w:rStyle w:val="MetaLabel"/>
        </w:rPr>
        <w:t xml:space="preserve">go</w:t>
      </w:r>
    </w:p>
    <w:p>
      <w:pPr>
        <w:pStyle w:val="CodeBlock"/>
      </w:pPr>
      <w:r>
        <w:t xml:space="preserve">package main</w:t>
      </w:r>
    </w:p>
    <w:p>
      <w:pPr>
        <w:pStyle w:val="CodeBlock"/>
      </w:pPr>
      <w:r>
        <w:t xml:space="preserve"/>
      </w:r>
    </w:p>
    <w:p>
      <w:pPr>
        <w:pStyle w:val="CodeBlock"/>
      </w:pPr>
      <w:r>
        <w:t xml:space="preserve">import (</w:t>
      </w:r>
    </w:p>
    <w:p>
      <w:pPr>
        <w:pStyle w:val="CodeBlock"/>
      </w:pPr>
      <w:r>
        <w:t xml:space="preserve">    "fmt"</w:t>
      </w:r>
    </w:p>
    <w:p>
      <w:pPr>
        <w:pStyle w:val="CodeBlock"/>
      </w:pPr>
      <w:r>
        <w:t xml:space="preserve">    "sync"</w:t>
      </w:r>
    </w:p>
    <w:p>
      <w:pPr>
        <w:pStyle w:val="CodeBlock"/>
      </w:pPr>
      <w:r>
        <w:t xml:space="preserve">)</w:t>
      </w:r>
    </w:p>
    <w:p>
      <w:pPr>
        <w:pStyle w:val="CodeBlock"/>
      </w:pPr>
      <w:r>
        <w:t xml:space="preserve"/>
      </w:r>
    </w:p>
    <w:p>
      <w:pPr>
        <w:pStyle w:val="CodeBlock"/>
      </w:pPr>
      <w:r>
        <w:t xml:space="preserve">func parallelMap[T, U any](items []T, fn func(T) U) []U {</w:t>
      </w:r>
    </w:p>
    <w:p>
      <w:pPr>
        <w:pStyle w:val="CodeBlock"/>
      </w:pPr>
      <w:r>
        <w:t xml:space="preserve">    out := make([]U, len(items))</w:t>
      </w:r>
    </w:p>
    <w:p>
      <w:pPr>
        <w:pStyle w:val="CodeBlock"/>
      </w:pPr>
      <w:r>
        <w:t xml:space="preserve">    var wg sync.WaitGroup</w:t>
      </w:r>
    </w:p>
    <w:p>
      <w:pPr>
        <w:pStyle w:val="CodeBlock"/>
      </w:pPr>
      <w:r>
        <w:t xml:space="preserve">    for i, item := range items {</w:t>
      </w:r>
    </w:p>
    <w:p>
      <w:pPr>
        <w:pStyle w:val="CodeBlock"/>
      </w:pPr>
      <w:r>
        <w:t xml:space="preserve">        wg.Add(1)</w:t>
      </w:r>
    </w:p>
    <w:p>
      <w:pPr>
        <w:pStyle w:val="CodeBlock"/>
      </w:pPr>
      <w:r>
        <w:t xml:space="preserve">        go func(i int, item T) {</w:t>
      </w:r>
    </w:p>
    <w:p>
      <w:pPr>
        <w:pStyle w:val="CodeBlock"/>
      </w:pPr>
      <w:r>
        <w:t xml:space="preserve">            defer wg.Done()</w:t>
      </w:r>
    </w:p>
    <w:p>
      <w:pPr>
        <w:pStyle w:val="CodeBlock"/>
      </w:pPr>
      <w:r>
        <w:t xml:space="preserve">            out[i] = fn(item)</w:t>
      </w:r>
    </w:p>
    <w:p>
      <w:pPr>
        <w:pStyle w:val="CodeBlock"/>
      </w:pPr>
      <w:r>
        <w:t xml:space="preserve">        }(i, item)</w:t>
      </w:r>
    </w:p>
    <w:p>
      <w:pPr>
        <w:pStyle w:val="CodeBlock"/>
      </w:pPr>
      <w:r>
        <w:t xml:space="preserve">    }</w:t>
      </w:r>
    </w:p>
    <w:p>
      <w:pPr>
        <w:pStyle w:val="CodeBlock"/>
      </w:pPr>
      <w:r>
        <w:t xml:space="preserve">    wg.Wait()</w:t>
      </w:r>
    </w:p>
    <w:p>
      <w:pPr>
        <w:pStyle w:val="Heading2"/>
      </w:pPr>
      <w:r>
        <w:t xml:space="preserve">Code — Go</w:t>
      </w:r>
    </w:p>
    <w:p>
      <w:pPr>
        <w:pStyle w:val="Normal"/>
      </w:pPr>
      <w:r>
        <w:rPr>
          <w:rStyle w:val="MetaLabel"/>
        </w:rPr>
        <w:t xml:space="preserve">go</w:t>
      </w:r>
    </w:p>
    <w:p>
      <w:pPr>
        <w:pStyle w:val="CodeBlock"/>
      </w:pPr>
      <w:r>
        <w:t xml:space="preserve">    return out</w:t>
      </w:r>
    </w:p>
    <w:p>
      <w:pPr>
        <w:pStyle w:val="CodeBlock"/>
      </w:pPr>
      <w:r>
        <w:t xml:space="preserve">}</w:t>
      </w:r>
    </w:p>
    <w:p>
      <w:pPr>
        <w:pStyle w:val="CodeBlock"/>
      </w:pPr>
      <w:r>
        <w:t xml:space="preserve"/>
      </w:r>
    </w:p>
    <w:p>
      <w:pPr>
        <w:pStyle w:val="CodeBlock"/>
      </w:pPr>
      <w:r>
        <w:t xml:space="preserve">func main() {</w:t>
      </w:r>
    </w:p>
    <w:p>
      <w:pPr>
        <w:pStyle w:val="CodeBlock"/>
      </w:pPr>
      <w:r>
        <w:t xml:space="preserve">    squared := parallelMap([]int{1, 2, 3, 4}, func(n int) int { return n * n })</w:t>
      </w:r>
    </w:p>
    <w:p>
      <w:pPr>
        <w:pStyle w:val="CodeBlock"/>
      </w:pPr>
      <w:r>
        <w:t xml:space="preserve">    fmt.Println(squared)</w:t>
      </w:r>
    </w:p>
    <w:p>
      <w:pPr>
        <w:pStyle w:val="CodeBlock"/>
      </w:pPr>
      <w:r>
        <w:t xml:space="preserve">}</w:t>
      </w:r>
    </w:p>
    <w:p>
      <w:pPr>
        <w:pStyle w:val="Heading2"/>
      </w:pPr>
      <w:r>
        <w:t xml:space="preserve">Code — SQL</w:t>
      </w:r>
    </w:p>
    <w:p>
      <w:pPr>
        <w:pStyle w:val="Normal"/>
      </w:pPr>
      <w:r>
        <w:rPr>
          <w:rStyle w:val="MetaLabel"/>
        </w:rPr>
        <w:t xml:space="preserve">sql</w:t>
      </w:r>
    </w:p>
    <w:p>
      <w:pPr>
        <w:pStyle w:val="CodeBlock"/>
      </w:pPr>
      <w:r>
        <w:t xml:space="preserve">WITH monthly_revenue AS (</w:t>
      </w:r>
    </w:p>
    <w:p>
      <w:pPr>
        <w:pStyle w:val="CodeBlock"/>
      </w:pPr>
      <w:r>
        <w:t xml:space="preserve">  SELECT</w:t>
      </w:r>
    </w:p>
    <w:p>
      <w:pPr>
        <w:pStyle w:val="CodeBlock"/>
      </w:pPr>
      <w:r>
        <w:t xml:space="preserve">    DATE_TRUNC('month', order_date) AS month,</w:t>
      </w:r>
    </w:p>
    <w:p>
      <w:pPr>
        <w:pStyle w:val="CodeBlock"/>
      </w:pPr>
      <w:r>
        <w:t xml:space="preserve">    SUM(amount) AS revenue,</w:t>
      </w:r>
    </w:p>
    <w:p>
      <w:pPr>
        <w:pStyle w:val="CodeBlock"/>
      </w:pPr>
      <w:r>
        <w:t xml:space="preserve">    COUNT(DISTINCT customer_id) AS customers</w:t>
      </w:r>
    </w:p>
    <w:p>
      <w:pPr>
        <w:pStyle w:val="CodeBlock"/>
      </w:pPr>
      <w:r>
        <w:t xml:space="preserve">  FROM orders</w:t>
      </w:r>
    </w:p>
    <w:p>
      <w:pPr>
        <w:pStyle w:val="CodeBlock"/>
      </w:pPr>
      <w:r>
        <w:t xml:space="preserve">  WHERE order_date &gt;= NOW() - INTERVAL '12 months'</w:t>
      </w:r>
    </w:p>
    <w:p>
      <w:pPr>
        <w:pStyle w:val="CodeBlock"/>
      </w:pPr>
      <w:r>
        <w:t xml:space="preserve">  GROUP BY 1</w:t>
      </w:r>
    </w:p>
    <w:p>
      <w:pPr>
        <w:pStyle w:val="CodeBlock"/>
      </w:pPr>
      <w:r>
        <w:t xml:space="preserve">)</w:t>
      </w:r>
    </w:p>
    <w:p>
      <w:pPr>
        <w:pStyle w:val="CodeBlock"/>
      </w:pPr>
      <w:r>
        <w:t xml:space="preserve">SELECT</w:t>
      </w:r>
    </w:p>
    <w:p>
      <w:pPr>
        <w:pStyle w:val="CodeBlock"/>
      </w:pPr>
      <w:r>
        <w:t xml:space="preserve">  month,</w:t>
      </w:r>
    </w:p>
    <w:p>
      <w:pPr>
        <w:pStyle w:val="CodeBlock"/>
      </w:pPr>
      <w:r>
        <w:t xml:space="preserve">  revenue,</w:t>
      </w:r>
    </w:p>
    <w:p>
      <w:pPr>
        <w:pStyle w:val="CodeBlock"/>
      </w:pPr>
      <w:r>
        <w:t xml:space="preserve">  customers,</w:t>
      </w:r>
    </w:p>
    <w:p>
      <w:pPr>
        <w:pStyle w:val="CodeBlock"/>
      </w:pPr>
      <w:r>
        <w:t xml:space="preserve">  revenue::numeric / NULLIF(customers, 0) AS arpu,</w:t>
      </w:r>
    </w:p>
    <w:p>
      <w:pPr>
        <w:pStyle w:val="CodeBlock"/>
      </w:pPr>
      <w:r>
        <w:t xml:space="preserve">  LAG(revenue) OVER (ORDER BY month) AS prev_month,</w:t>
      </w:r>
    </w:p>
    <w:p>
      <w:pPr>
        <w:pStyle w:val="CodeBlock"/>
      </w:pPr>
      <w:r>
        <w:t xml:space="preserve">  revenue - LAG(revenue) OVER (ORDER BY month) AS delta</w:t>
      </w:r>
    </w:p>
    <w:p>
      <w:pPr>
        <w:pStyle w:val="CodeBlock"/>
      </w:pPr>
      <w:r>
        <w:t xml:space="preserve">FROM monthly_revenue</w:t>
      </w:r>
    </w:p>
    <w:p>
      <w:pPr>
        <w:pStyle w:val="CodeBlock"/>
      </w:pPr>
      <w:r>
        <w:t xml:space="preserve">ORDER BY month DESC;</w:t>
      </w:r>
    </w:p>
    <w:p>
      <w:pPr>
        <w:pStyle w:val="Heading2"/>
      </w:pPr>
      <w:r>
        <w:t xml:space="preserve">Code — shell</w:t>
      </w:r>
    </w:p>
    <w:p>
      <w:pPr>
        <w:pStyle w:val="Normal"/>
      </w:pPr>
      <w:r>
        <w:rPr>
          <w:rStyle w:val="MetaLabel"/>
        </w:rPr>
        <w:t xml:space="preserve">bash</w:t>
      </w:r>
    </w:p>
    <w:p>
      <w:pPr>
        <w:pStyle w:val="CodeBlock"/>
      </w:pPr>
      <w:r>
        <w:t xml:space="preserve">#!/usr/bin/env bash</w:t>
      </w:r>
    </w:p>
    <w:p>
      <w:pPr>
        <w:pStyle w:val="CodeBlock"/>
      </w:pPr>
      <w:r>
        <w:t xml:space="preserve">set -euo pipefail</w:t>
      </w:r>
    </w:p>
    <w:p>
      <w:pPr>
        <w:pStyle w:val="CodeBlock"/>
      </w:pPr>
      <w:r>
        <w:t xml:space="preserve"/>
      </w:r>
    </w:p>
    <w:p>
      <w:pPr>
        <w:pStyle w:val="CodeBlock"/>
      </w:pPr>
      <w:r>
        <w:t xml:space="preserve">deploy() {</w:t>
      </w:r>
    </w:p>
    <w:p>
      <w:pPr>
        <w:pStyle w:val="CodeBlock"/>
      </w:pPr>
      <w:r>
        <w:t xml:space="preserve">  local env="$1" tag="$2"</w:t>
      </w:r>
    </w:p>
    <w:p>
      <w:pPr>
        <w:pStyle w:val="CodeBlock"/>
      </w:pPr>
      <w:r>
        <w:t xml:space="preserve">  echo "→ deploying $tag to $env"</w:t>
      </w:r>
    </w:p>
    <w:p>
      <w:pPr>
        <w:pStyle w:val="CodeBlock"/>
      </w:pPr>
      <w:r>
        <w:t xml:space="preserve">  kubectl --context "$env" set image deployment/api api="ghcr.io/acme/api:$tag"</w:t>
      </w:r>
    </w:p>
    <w:p>
      <w:pPr>
        <w:pStyle w:val="CodeBlock"/>
      </w:pPr>
      <w:r>
        <w:t xml:space="preserve">  kubectl --context "$env" rollout status deployment/api --timeout=120s</w:t>
      </w:r>
    </w:p>
    <w:p>
      <w:pPr>
        <w:pStyle w:val="CodeBlock"/>
      </w:pPr>
      <w:r>
        <w:t xml:space="preserve">}</w:t>
      </w:r>
    </w:p>
    <w:p>
      <w:pPr>
        <w:pStyle w:val="CodeBlock"/>
      </w:pPr>
      <w:r>
        <w:t xml:space="preserve"/>
      </w:r>
    </w:p>
    <w:p>
      <w:pPr>
        <w:pStyle w:val="CodeBlock"/>
      </w:pPr>
      <w:r>
        <w:t xml:space="preserve">for env in staging prod; do</w:t>
      </w:r>
    </w:p>
    <w:p>
      <w:pPr>
        <w:pStyle w:val="CodeBlock"/>
      </w:pPr>
      <w:r>
        <w:t xml:space="preserve">  deploy "$env" "${TAG:-latest}"</w:t>
      </w:r>
    </w:p>
    <w:p>
      <w:pPr>
        <w:pStyle w:val="CodeBlock"/>
      </w:pPr>
      <w:r>
        <w:t xml:space="preserve">done</w:t>
      </w:r>
    </w:p>
    <w:p>
      <w:pPr>
        <w:pStyle w:val="Heading2"/>
      </w:pPr>
      <w:r>
        <w:t xml:space="preserve">Code — JSON + YAML + TOML</w:t>
      </w:r>
    </w:p>
    <w:p>
      <w:pPr>
        <w:pStyle w:val="Normal"/>
      </w:pPr>
      <w:r>
        <w:rPr>
          <w:rStyle w:val="MetaLabel"/>
        </w:rPr>
        <w:t xml:space="preserve">json</w:t>
      </w:r>
    </w:p>
    <w:p>
      <w:pPr>
        <w:pStyle w:val="CodeBlock"/>
      </w:pPr>
      <w:r>
        <w:t xml:space="preserve">{</w:t>
      </w:r>
    </w:p>
    <w:p>
      <w:pPr>
        <w:pStyle w:val="CodeBlock"/>
      </w:pPr>
      <w:r>
        <w:t xml:space="preserve">  "name": "md2any",</w:t>
      </w:r>
    </w:p>
    <w:p>
      <w:pPr>
        <w:pStyle w:val="CodeBlock"/>
      </w:pPr>
      <w:r>
        <w:t xml:space="preserve">  "version": "0.1.0",</w:t>
      </w:r>
    </w:p>
    <w:p>
      <w:pPr>
        <w:pStyle w:val="CodeBlock"/>
      </w:pPr>
      <w:r>
        <w:t xml:space="preserve">  "outputs": ["pptx", "odp", "pdf", "docx", "odt"],</w:t>
      </w:r>
    </w:p>
    <w:p>
      <w:pPr>
        <w:pStyle w:val="CodeBlock"/>
      </w:pPr>
      <w:r>
        <w:t xml:space="preserve">  "compact": true,</w:t>
      </w:r>
    </w:p>
    <w:p>
      <w:pPr>
        <w:pStyle w:val="CodeBlock"/>
      </w:pPr>
      <w:r>
        <w:t xml:space="preserve">  "deps": null</w:t>
      </w:r>
    </w:p>
    <w:p>
      <w:pPr>
        <w:pStyle w:val="CodeBlock"/>
      </w:pPr>
      <w:r>
        <w:t xml:space="preserve">}</w:t>
      </w:r>
    </w:p>
    <w:p>
      <w:pPr>
        <w:pStyle w:val="Heading2"/>
      </w:pPr>
      <w:r>
        <w:t xml:space="preserve">Code — JSON + YAML + TOML</w:t>
      </w:r>
    </w:p>
    <w:p>
      <w:pPr>
        <w:pStyle w:val="Normal"/>
      </w:pPr>
      <w:r>
        <w:rPr>
          <w:rStyle w:val="MetaLabel"/>
        </w:rPr>
        <w:t xml:space="preserve">yaml</w:t>
      </w:r>
    </w:p>
    <w:p>
      <w:pPr>
        <w:pStyle w:val="CodeBlock"/>
      </w:pPr>
      <w:r>
        <w:t xml:space="preserve">name: md2any</w:t>
      </w:r>
    </w:p>
    <w:p>
      <w:pPr>
        <w:pStyle w:val="CodeBlock"/>
      </w:pPr>
      <w:r>
        <w:t xml:space="preserve">version: 0.1.0</w:t>
      </w:r>
    </w:p>
    <w:p>
      <w:pPr>
        <w:pStyle w:val="CodeBlock"/>
      </w:pPr>
      <w:r>
        <w:t xml:space="preserve">outputs:</w:t>
      </w:r>
    </w:p>
    <w:p>
      <w:pPr>
        <w:pStyle w:val="CodeBlock"/>
      </w:pPr>
      <w:r>
        <w:t xml:space="preserve">  - pptx</w:t>
      </w:r>
    </w:p>
    <w:p>
      <w:pPr>
        <w:pStyle w:val="CodeBlock"/>
      </w:pPr>
      <w:r>
        <w:t xml:space="preserve">  - odp</w:t>
      </w:r>
    </w:p>
    <w:p>
      <w:pPr>
        <w:pStyle w:val="CodeBlock"/>
      </w:pPr>
      <w:r>
        <w:t xml:space="preserve">  - pdf</w:t>
      </w:r>
    </w:p>
    <w:p>
      <w:pPr>
        <w:pStyle w:val="CodeBlock"/>
      </w:pPr>
      <w:r>
        <w:t xml:space="preserve">  - docx</w:t>
      </w:r>
    </w:p>
    <w:p>
      <w:pPr>
        <w:pStyle w:val="CodeBlock"/>
      </w:pPr>
      <w:r>
        <w:t xml:space="preserve">  - odt</w:t>
      </w:r>
    </w:p>
    <w:p>
      <w:pPr>
        <w:pStyle w:val="CodeBlock"/>
      </w:pPr>
      <w:r>
        <w:t xml:space="preserve">features:</w:t>
      </w:r>
    </w:p>
    <w:p>
      <w:pPr>
        <w:pStyle w:val="CodeBlock"/>
      </w:pPr>
      <w:r>
        <w:t xml:space="preserve">  remote_images: true</w:t>
      </w:r>
    </w:p>
    <w:p>
      <w:pPr>
        <w:pStyle w:val="CodeBlock"/>
      </w:pPr>
      <w:r>
        <w:t xml:space="preserve">  svg: true</w:t>
      </w:r>
    </w:p>
    <w:p>
      <w:pPr>
        <w:pStyle w:val="Heading2"/>
      </w:pPr>
      <w:r>
        <w:t xml:space="preserve">Code — JSON + YAML + TOML</w:t>
      </w:r>
    </w:p>
    <w:p>
      <w:pPr>
        <w:pStyle w:val="Normal"/>
      </w:pPr>
      <w:r>
        <w:rPr>
          <w:rStyle w:val="MetaLabel"/>
        </w:rPr>
        <w:t xml:space="preserve">toml</w:t>
      </w:r>
    </w:p>
    <w:p>
      <w:pPr>
        <w:pStyle w:val="CodeBlock"/>
      </w:pPr>
      <w:r>
        <w:t xml:space="preserve">[package]</w:t>
      </w:r>
    </w:p>
    <w:p>
      <w:pPr>
        <w:pStyle w:val="CodeBlock"/>
      </w:pPr>
      <w:r>
        <w:t xml:space="preserve">name = "md2any"</w:t>
      </w:r>
    </w:p>
    <w:p>
      <w:pPr>
        <w:pStyle w:val="CodeBlock"/>
      </w:pPr>
      <w:r>
        <w:t xml:space="preserve">version = "0.1.0"</w:t>
      </w:r>
    </w:p>
    <w:p>
      <w:pPr>
        <w:pStyle w:val="CodeBlock"/>
      </w:pPr>
      <w:r>
        <w:t xml:space="preserve">edition = "2021"</w:t>
      </w:r>
    </w:p>
    <w:p>
      <w:pPr>
        <w:pStyle w:val="CodeBlock"/>
      </w:pPr>
      <w:r>
        <w:t xml:space="preserve"/>
      </w:r>
    </w:p>
    <w:p>
      <w:pPr>
        <w:pStyle w:val="CodeBlock"/>
      </w:pPr>
      <w:r>
        <w:t xml:space="preserve">[dependencies]</w:t>
      </w:r>
    </w:p>
    <w:p>
      <w:pPr>
        <w:pStyle w:val="CodeBlock"/>
      </w:pPr>
      <w:r>
        <w:t xml:space="preserve">clap = { version = "4.5", features = ["derive"] }</w:t>
      </w:r>
    </w:p>
    <w:p>
      <w:pPr>
        <w:pStyle w:val="CodeBlock"/>
      </w:pPr>
      <w:r>
        <w:t xml:space="preserve">pulldown-cmark = "0.10"</w:t>
      </w:r>
    </w:p>
    <w:p>
      <w:pPr>
        <w:pStyle w:val="Heading2"/>
      </w:pPr>
      <w:r>
        <w:t xml:space="preserve">Code — mainframe</w:t>
      </w:r>
    </w:p>
    <w:p>
      <w:pPr>
        <w:pStyle w:val="Normal"/>
      </w:pPr>
      <w:r>
        <w:t xml:space="preserve">md2any ships syntax tables for COBOL, JCL, REXX, PL/I, HLASM, and DB2 alongside the modern languages. Handy when documentation has to live in the same deck as a mainframe migration story.</w:t>
      </w:r>
    </w:p>
    <w:p>
      <w:pPr>
        <w:pStyle w:val="Normal"/>
      </w:pPr>
      <w:r>
        <w:rPr>
          <w:rStyle w:val="MetaLabel"/>
        </w:rPr>
        <w:t xml:space="preserve">cobol</w:t>
      </w:r>
    </w:p>
    <w:p>
      <w:pPr>
        <w:pStyle w:val="CodeBlock"/>
      </w:pPr>
      <w:r>
        <w:t xml:space="preserve">       IDENTIFICATION DIVISION.</w:t>
      </w:r>
    </w:p>
    <w:p>
      <w:pPr>
        <w:pStyle w:val="CodeBlock"/>
      </w:pPr>
      <w:r>
        <w:t xml:space="preserve">       PROGRAM-ID. HELLO.</w:t>
      </w:r>
    </w:p>
    <w:p>
      <w:pPr>
        <w:pStyle w:val="CodeBlock"/>
      </w:pPr>
      <w:r>
        <w:t xml:space="preserve">       PROCEDURE DIVISION.</w:t>
      </w:r>
    </w:p>
    <w:p>
      <w:pPr>
        <w:pStyle w:val="CodeBlock"/>
      </w:pPr>
      <w:r>
        <w:t xml:space="preserve">           DISPLAY 'HELLO, MAINFRAME'.</w:t>
      </w:r>
    </w:p>
    <w:p>
      <w:pPr>
        <w:pStyle w:val="CodeBlock"/>
      </w:pPr>
      <w:r>
        <w:t xml:space="preserve">           STOP RUN.</w:t>
      </w:r>
    </w:p>
    <w:p>
      <w:pPr>
        <w:pStyle w:val="Normal"/>
      </w:pPr>
      <w:r>
        <w:rPr>
          <w:rStyle w:val="MetaLabel"/>
        </w:rPr>
        <w:t xml:space="preserve">jcl</w:t>
      </w:r>
    </w:p>
    <w:p>
      <w:pPr>
        <w:pStyle w:val="CodeBlock"/>
      </w:pPr>
      <w:r>
        <w:t xml:space="preserve">//PAYROLL  JOB  (ACCT),'NIGHTLY RUN',CLASS=A,MSGCLASS=H</w:t>
      </w:r>
    </w:p>
    <w:p>
      <w:pPr>
        <w:pStyle w:val="CodeBlock"/>
      </w:pPr>
      <w:r>
        <w:t xml:space="preserve">//STEP1    EXEC PGM=IDCAMS</w:t>
      </w:r>
    </w:p>
    <w:p>
      <w:pPr>
        <w:pStyle w:val="CodeBlock"/>
      </w:pPr>
      <w:r>
        <w:t xml:space="preserve">//SYSPRINT DD   SYSOUT=*</w:t>
      </w:r>
    </w:p>
    <w:p>
      <w:pPr>
        <w:pStyle w:val="CodeBlock"/>
      </w:pPr>
      <w:r>
        <w:t xml:space="preserve">//SYSIN    DD   *</w:t>
      </w:r>
    </w:p>
    <w:p>
      <w:pPr>
        <w:pStyle w:val="CodeBlock"/>
      </w:pPr>
      <w:r>
        <w:t xml:space="preserve">  LISTCAT ENTRIES('PROD.PAYROLL.MASTER')</w:t>
      </w:r>
    </w:p>
    <w:p>
      <w:pPr>
        <w:pStyle w:val="CodeBlock"/>
      </w:pPr>
      <w:r>
        <w:t xml:space="preserve">/*</w:t>
      </w:r>
    </w:p>
    <w:p>
      <w:pPr>
        <w:pStyle w:val="Heading2"/>
      </w:pPr>
      <w:r>
        <w:t xml:space="preserve">Tables</w:t>
      </w:r>
    </w:p>
    <w:tbl>
      <w:tblPr>
        <w:tblW w:w="0" w:type="auto"/>
        <w:tblBorders>
          <w:top w:val="single" w:sz="4" w:color="CCCCCC"/>
          <w:left w:val="single" w:sz="4" w:color="CCCCCC"/>
          <w:bottom w:val="single" w:sz="4" w:color="CCCCCC"/>
          <w:right w:val="single" w:sz="4" w:color="CCCCCC"/>
          <w:insideH w:val="single" w:sz="4" w:color="EEEEEE"/>
          <w:insideV w:val="single" w:sz="4" w:color="EEEEEE"/>
        </w:tblBorders>
      </w:tblPr>
      <w:tblGrid>
        <w:gridCol w:w="1800"/>
        <w:gridCol w:w="1800"/>
        <w:gridCol w:w="1800"/>
        <w:gridCol w:w="1800"/>
        <w:gridCol w:w="1800"/>
      </w:tblGrid>
      <w:tr>
        <w:trPr>
          <w:tblHeader/>
        </w:trPr>
        <w:tc>
          <w:tcPr>
            <w:tcW w:w="1800" w:type="dxa"/>
            <w:shd w:val="clear" w:color="auto" w:fill="F1F5F9"/>
          </w:tcPr>
          <w:p>
            <w:pPr>
              <w:pStyle w:val="Normal"/>
            </w:pPr>
            <w:r>
              <w:rPr>
                <w:b/>
              </w:rPr>
              <w:t xml:space="preserve">Format</w:t>
            </w:r>
          </w:p>
        </w:tc>
        <w:tc>
          <w:tcPr>
            <w:tcW w:w="1800" w:type="dxa"/>
            <w:shd w:val="clear" w:color="auto" w:fill="F1F5F9"/>
          </w:tcPr>
          <w:p>
            <w:pPr>
              <w:pStyle w:val="Normal"/>
            </w:pPr>
            <w:r>
              <w:rPr>
                <w:b/>
              </w:rPr>
              <w:t xml:space="preserve">Editable</w:t>
            </w:r>
          </w:p>
        </w:tc>
        <w:tc>
          <w:tcPr>
            <w:tcW w:w="1800" w:type="dxa"/>
            <w:shd w:val="clear" w:color="auto" w:fill="F1F5F9"/>
          </w:tcPr>
          <w:p>
            <w:pPr>
              <w:pStyle w:val="Normal"/>
            </w:pPr>
            <w:r>
              <w:rPr>
                <w:b/>
              </w:rPr>
              <w:t xml:space="preserve">Slides</w:t>
            </w:r>
          </w:p>
        </w:tc>
        <w:tc>
          <w:tcPr>
            <w:tcW w:w="1800" w:type="dxa"/>
            <w:shd w:val="clear" w:color="auto" w:fill="F1F5F9"/>
          </w:tcPr>
          <w:p>
            <w:pPr>
              <w:pStyle w:val="Normal"/>
            </w:pPr>
            <w:r>
              <w:rPr>
                <w:b/>
              </w:rPr>
              <w:t xml:space="preserve">Docs</w:t>
            </w:r>
          </w:p>
        </w:tc>
        <w:tc>
          <w:tcPr>
            <w:tcW w:w="1800" w:type="dxa"/>
            <w:shd w:val="clear" w:color="auto" w:fill="F1F5F9"/>
          </w:tcPr>
          <w:p>
            <w:pPr>
              <w:pStyle w:val="Normal"/>
            </w:pPr>
            <w:r>
              <w:rPr>
                <w:b/>
              </w:rPr>
              <w:t xml:space="preserve">Notes</w:t>
            </w:r>
          </w:p>
        </w:tc>
      </w:tr>
      <w:tr>
        <w:tc>
          <w:tcPr>
            <w:tcW w:w="1800" w:type="dxa"/>
          </w:tcPr>
          <w:p>
            <w:pPr>
              <w:pStyle w:val="Normal"/>
            </w:pPr>
            <w:r>
              <w:t xml:space="preserve">PPTX</w:t>
            </w:r>
          </w:p>
        </w:tc>
        <w:tc>
          <w:tcPr>
            <w:tcW w:w="1800" w:type="dxa"/>
          </w:tcPr>
          <w:p>
            <w:pPr>
              <w:pStyle w:val="Normal"/>
            </w:pPr>
            <w:r>
              <w:t xml:space="preserve">yes</w:t>
            </w:r>
          </w:p>
        </w:tc>
        <w:tc>
          <w:tcPr>
            <w:tcW w:w="1800" w:type="dxa"/>
          </w:tcPr>
          <w:p>
            <w:pPr>
              <w:pStyle w:val="Normal"/>
            </w:pPr>
            <w:r>
              <w:t xml:space="preserve">✓</w:t>
            </w:r>
          </w:p>
        </w:tc>
        <w:tc>
          <w:tcPr>
            <w:tcW w:w="1800" w:type="dxa"/>
          </w:tcPr>
          <w:p>
            <w:pPr>
              <w:pStyle w:val="Normal"/>
            </w:pPr>
          </w:p>
        </w:tc>
        <w:tc>
          <w:tcPr>
            <w:tcW w:w="1800" w:type="dxa"/>
          </w:tcPr>
          <w:p>
            <w:pPr>
              <w:pStyle w:val="Normal"/>
            </w:pPr>
            <w:r>
              <w:t xml:space="preserve">speaker notes, transitions</w:t>
            </w:r>
          </w:p>
        </w:tc>
      </w:tr>
      <w:tr>
        <w:tc>
          <w:tcPr>
            <w:tcW w:w="1800" w:type="dxa"/>
          </w:tcPr>
          <w:p>
            <w:pPr>
              <w:pStyle w:val="Normal"/>
            </w:pPr>
            <w:r>
              <w:t xml:space="preserve">ODP</w:t>
            </w:r>
          </w:p>
        </w:tc>
        <w:tc>
          <w:tcPr>
            <w:tcW w:w="1800" w:type="dxa"/>
          </w:tcPr>
          <w:p>
            <w:pPr>
              <w:pStyle w:val="Normal"/>
            </w:pPr>
            <w:r>
              <w:t xml:space="preserve">yes</w:t>
            </w:r>
          </w:p>
        </w:tc>
        <w:tc>
          <w:tcPr>
            <w:tcW w:w="1800" w:type="dxa"/>
          </w:tcPr>
          <w:p>
            <w:pPr>
              <w:pStyle w:val="Normal"/>
            </w:pPr>
            <w:r>
              <w:t xml:space="preserve">✓</w:t>
            </w:r>
          </w:p>
        </w:tc>
        <w:tc>
          <w:tcPr>
            <w:tcW w:w="1800" w:type="dxa"/>
          </w:tcPr>
          <w:p>
            <w:pPr>
              <w:pStyle w:val="Normal"/>
            </w:pPr>
          </w:p>
        </w:tc>
        <w:tc>
          <w:tcPr>
            <w:tcW w:w="1800" w:type="dxa"/>
          </w:tcPr>
          <w:p>
            <w:pPr>
              <w:pStyle w:val="Normal"/>
            </w:pPr>
            <w:r>
              <w:t xml:space="preserve">open source replacement</w:t>
            </w:r>
          </w:p>
        </w:tc>
      </w:tr>
      <w:tr>
        <w:tc>
          <w:tcPr>
            <w:tcW w:w="1800" w:type="dxa"/>
          </w:tcPr>
          <w:p>
            <w:pPr>
              <w:pStyle w:val="Normal"/>
            </w:pPr>
            <w:r>
              <w:t xml:space="preserve">PDF</w:t>
            </w:r>
          </w:p>
        </w:tc>
        <w:tc>
          <w:tcPr>
            <w:tcW w:w="1800" w:type="dxa"/>
          </w:tcPr>
          <w:p>
            <w:pPr>
              <w:pStyle w:val="Normal"/>
            </w:pPr>
            <w:r>
              <w:t xml:space="preserve">no</w:t>
            </w:r>
          </w:p>
        </w:tc>
        <w:tc>
          <w:tcPr>
            <w:tcW w:w="1800" w:type="dxa"/>
          </w:tcPr>
          <w:p>
            <w:pPr>
              <w:pStyle w:val="Normal"/>
            </w:pPr>
            <w:r>
              <w:t xml:space="preserve">✓</w:t>
            </w:r>
          </w:p>
        </w:tc>
        <w:tc>
          <w:tcPr>
            <w:tcW w:w="1800" w:type="dxa"/>
          </w:tcPr>
          <w:p>
            <w:pPr>
              <w:pStyle w:val="Normal"/>
            </w:pPr>
            <w:r>
              <w:t xml:space="preserve">✓</w:t>
            </w:r>
          </w:p>
        </w:tc>
        <w:tc>
          <w:tcPr>
            <w:tcW w:w="1800" w:type="dxa"/>
          </w:tcPr>
          <w:p>
            <w:pPr>
              <w:pStyle w:val="Normal"/>
            </w:pPr>
            <w:r>
              <w:t xml:space="preserve">font-embedded, copy-pasteable</w:t>
            </w:r>
          </w:p>
        </w:tc>
      </w:tr>
      <w:tr>
        <w:tc>
          <w:tcPr>
            <w:tcW w:w="1800" w:type="dxa"/>
          </w:tcPr>
          <w:p>
            <w:pPr>
              <w:pStyle w:val="Normal"/>
            </w:pPr>
            <w:r>
              <w:t xml:space="preserve">DOCX</w:t>
            </w:r>
          </w:p>
        </w:tc>
        <w:tc>
          <w:tcPr>
            <w:tcW w:w="1800" w:type="dxa"/>
          </w:tcPr>
          <w:p>
            <w:pPr>
              <w:pStyle w:val="Normal"/>
            </w:pPr>
            <w:r>
              <w:t xml:space="preserve">yes</w:t>
            </w:r>
          </w:p>
        </w:tc>
        <w:tc>
          <w:tcPr>
            <w:tcW w:w="1800" w:type="dxa"/>
          </w:tcPr>
          <w:p>
            <w:pPr>
              <w:pStyle w:val="Normal"/>
            </w:pPr>
          </w:p>
        </w:tc>
        <w:tc>
          <w:tcPr>
            <w:tcW w:w="1800" w:type="dxa"/>
          </w:tcPr>
          <w:p>
            <w:pPr>
              <w:pStyle w:val="Normal"/>
            </w:pPr>
            <w:r>
              <w:t xml:space="preserve">✓</w:t>
            </w:r>
          </w:p>
        </w:tc>
        <w:tc>
          <w:tcPr>
            <w:tcW w:w="1800" w:type="dxa"/>
          </w:tcPr>
          <w:p>
            <w:pPr>
              <w:pStyle w:val="Normal"/>
            </w:pPr>
            <w:r>
              <w:t xml:space="preserve">document flow</w:t>
            </w:r>
          </w:p>
        </w:tc>
      </w:tr>
      <w:tr>
        <w:tc>
          <w:tcPr>
            <w:tcW w:w="1800" w:type="dxa"/>
          </w:tcPr>
          <w:p>
            <w:pPr>
              <w:pStyle w:val="Normal"/>
            </w:pPr>
            <w:r>
              <w:t xml:space="preserve">ODT</w:t>
            </w:r>
          </w:p>
        </w:tc>
        <w:tc>
          <w:tcPr>
            <w:tcW w:w="1800" w:type="dxa"/>
          </w:tcPr>
          <w:p>
            <w:pPr>
              <w:pStyle w:val="Normal"/>
            </w:pPr>
            <w:r>
              <w:t xml:space="preserve">yes</w:t>
            </w:r>
          </w:p>
        </w:tc>
        <w:tc>
          <w:tcPr>
            <w:tcW w:w="1800" w:type="dxa"/>
          </w:tcPr>
          <w:p>
            <w:pPr>
              <w:pStyle w:val="Normal"/>
            </w:pPr>
          </w:p>
        </w:tc>
        <w:tc>
          <w:tcPr>
            <w:tcW w:w="1800" w:type="dxa"/>
          </w:tcPr>
          <w:p>
            <w:pPr>
              <w:pStyle w:val="Normal"/>
            </w:pPr>
            <w:r>
              <w:t xml:space="preserve">✓</w:t>
            </w:r>
          </w:p>
        </w:tc>
        <w:tc>
          <w:tcPr>
            <w:tcW w:w="1800" w:type="dxa"/>
          </w:tcPr>
          <w:p>
            <w:pPr>
              <w:pStyle w:val="Normal"/>
            </w:pPr>
            <w:r>
              <w:t xml:space="preserve">open source replacement</w:t>
            </w:r>
          </w:p>
        </w:tc>
      </w:tr>
    </w:tbl>
    <w:p>
      <w:pPr>
        <w:pStyle w:val="Heading2"/>
      </w:pPr>
      <w:r>
        <w:t xml:space="preserve">Side-by-side columns</w:t>
      </w:r>
    </w:p>
    <w:p>
      <w:pPr>
        <w:pStyle w:val="Normal"/>
      </w:pPr>
      <w:r>
        <w:rPr>
          <w:rStyle w:val="InlineCode"/>
        </w:rPr>
        <w:t xml:space="preserve">:::</w:t>
      </w:r>
      <w:r>
        <w:t xml:space="preserve"> splits a slide into two columns. Useful for compare-and-contrast.</w:t>
      </w:r>
    </w:p>
    <w:p>
      <w:pPr>
        <w:pStyle w:val="Heading2"/>
      </w:pPr>
      <w:r>
        <w:t xml:space="preserve">Pros and cons</w:t>
      </w:r>
    </w:p>
    <w:p>
      <w:pPr>
        <w:pStyle w:val="Normal"/>
      </w:pPr>
      <w:r>
        <w:t xml:space="preserve">Markdown source on the left, polished output on the right. Author once, deliver to five formats, no Office on the build machine, no JRE, no Python pipeline. Fast cold start, fast warm rebuild.</w:t>
      </w:r>
    </w:p>
    <w:p>
      <w:pPr>
        <w:pStyle w:val="Normal"/>
      </w:pPr>
      <w:r>
        <w:t xml:space="preserve">The trade-off: visuals are constrained to what md2any knows about. No SmartArt, no animations beyond simple transitions, no embedded video. If you need those, this isn't the right tool.</w:t>
      </w:r>
    </w:p>
    <w:p>
      <w:pPr>
        <w:pStyle w:val="Heading2"/>
      </w:pPr>
      <w:r>
        <w:t xml:space="preserve">CJK — Chinese, Japanese, Korean</w:t>
      </w:r>
    </w:p>
    <w:p>
      <w:pPr>
        <w:pStyle w:val="Normal"/>
      </w:pPr>
      <w:r>
        <w:t xml:space="preserve">Generate with </w:t>
      </w:r>
      <w:r>
        <w:rPr>
          <w:rStyle w:val="InlineCode"/>
        </w:rPr>
        <w:t xml:space="preserve">--cjk /path/to/NotoSansCJK.ttc</w:t>
      </w:r>
      <w:r>
        <w:t xml:space="preserve"> to embed CJK glyphs in PDF (PPTX/ODP/DOCX/ODT just need </w:t>
      </w:r>
      <w:r>
        <w:rPr>
          <w:rStyle w:val="InlineCode"/>
        </w:rPr>
        <w:t xml:space="preserve">--font</w:t>
      </w:r>
      <w:r>
        <w:t xml:space="preserve"> set to a CJK family).</w:t>
      </w:r>
    </w:p>
    <w:p>
      <w:pPr>
        <w:pStyle w:val="ListParagraph"/>
        <w:numPr>
          <w:ilvl w:val="0"/>
          <w:numId w:val="1"/>
        </w:numPr>
      </w:pPr>
      <w:r>
        <w:t xml:space="preserve">中文：你好世界，欢迎使用 md2any。</w:t>
      </w:r>
    </w:p>
    <w:p>
      <w:pPr>
        <w:pStyle w:val="ListParagraph"/>
        <w:numPr>
          <w:ilvl w:val="0"/>
          <w:numId w:val="1"/>
        </w:numPr>
      </w:pPr>
      <w:r>
        <w:t xml:space="preserve">日本語：こんにちは、世界。md2any へようこそ。</w:t>
      </w:r>
    </w:p>
    <w:p>
      <w:pPr>
        <w:pStyle w:val="ListParagraph"/>
        <w:numPr>
          <w:ilvl w:val="0"/>
          <w:numId w:val="1"/>
        </w:numPr>
      </w:pPr>
      <w:r>
        <w:t xml:space="preserve">한국어：안녕하세요 세계. md2any에 오신 것을 환영합니다.</w:t>
      </w:r>
    </w:p>
    <w:p>
      <w:pPr>
        <w:pStyle w:val="Normal"/>
      </w:pPr>
      <w:r>
        <w:t xml:space="preserve">Mixed runs work inline too — </w:t>
      </w:r>
      <w:r>
        <w:rPr>
          <w:i/>
        </w:rPr>
        <w:t xml:space="preserve">md2any</w:t>
      </w:r>
      <w:r>
        <w:t xml:space="preserve"> handles </w:t>
      </w:r>
      <w:r>
        <w:rPr>
          <w:b/>
        </w:rPr>
        <w:t xml:space="preserve">中文</w:t>
      </w:r>
      <w:r>
        <w:t xml:space="preserve"> and </w:t>
      </w:r>
      <w:r>
        <w:rPr>
          <w:rStyle w:val="InlineCode"/>
        </w:rPr>
        <w:t xml:space="preserve">日本語</w:t>
      </w:r>
      <w:r>
        <w:t xml:space="preserve"> and </w:t>
      </w:r>
      <w:r>
        <w:rPr>
          <w:rStyle w:val="InlineCode"/>
        </w:rPr>
        <w:t xml:space="preserve">한국어</w:t>
      </w:r>
      <w:r>
        <w:t xml:space="preserve"> in the same paragraph without breaking line layout.</w:t>
      </w:r>
    </w:p>
    <w:p>
      <w:pPr>
        <w:pStyle w:val="Heading2"/>
      </w:pPr>
      <w:r>
        <w:t xml:space="preserve">Unicode coverage</w:t>
      </w:r>
    </w:p>
    <w:p>
      <w:pPr>
        <w:pStyle w:val="Normal"/>
      </w:pPr>
      <w:r>
        <w:t xml:space="preserve">DejaVu Sans ships ~5,800 glyphs, covering Latin, Greek, Cyrillic, Hebrew, Arabic, math, and arrows. A whirlwind tour:</w:t>
      </w:r>
    </w:p>
    <w:p>
      <w:pPr>
        <w:pStyle w:val="ListParagraph"/>
        <w:numPr>
          <w:ilvl w:val="0"/>
          <w:numId w:val="1"/>
        </w:numPr>
      </w:pPr>
      <w:r>
        <w:t xml:space="preserve">Currency: € £ ¥ ₹ ₽ ₩ ฿ ₪ ₺ ₴</w:t>
      </w:r>
    </w:p>
    <w:p>
      <w:pPr>
        <w:pStyle w:val="ListParagraph"/>
        <w:numPr>
          <w:ilvl w:val="0"/>
          <w:numId w:val="1"/>
        </w:numPr>
      </w:pPr>
      <w:r>
        <w:t xml:space="preserve">Arrows: ← → ↑ ↓ ↔ ⇐ ⇒ ⇔ ⇆ ↻ ↺</w:t>
      </w:r>
    </w:p>
    <w:p>
      <w:pPr>
        <w:pStyle w:val="ListParagraph"/>
        <w:numPr>
          <w:ilvl w:val="0"/>
          <w:numId w:val="1"/>
        </w:numPr>
      </w:pPr>
      <w:r>
        <w:t xml:space="preserve">Math: ∀ ∃ ∄ ∅ ∈ ∉ ∋ ∏ ∑ ∫ ∮ ∝ ∞ ∇ ∂ √ ∛ ∜ ≈ ≠ ≡ ≤ ≥ ⊂ ⊃ ⊆ ⊇ ∪ ∩</w:t>
      </w:r>
    </w:p>
    <w:p>
      <w:pPr>
        <w:pStyle w:val="ListParagraph"/>
        <w:numPr>
          <w:ilvl w:val="0"/>
          <w:numId w:val="1"/>
        </w:numPr>
      </w:pPr>
      <w:r>
        <w:t xml:space="preserve">Logic: ¬ ∧ ∨ ⊕ ⊻ ⊤ ⊥ ⊢ ⊨</w:t>
      </w:r>
    </w:p>
    <w:p>
      <w:pPr>
        <w:pStyle w:val="ListParagraph"/>
        <w:numPr>
          <w:ilvl w:val="0"/>
          <w:numId w:val="1"/>
        </w:numPr>
      </w:pPr>
      <w:r>
        <w:t xml:space="preserve">Set theory: ℕ ℤ ℚ ℝ ℂ ℙ ℵ ℶ</w:t>
      </w:r>
    </w:p>
    <w:p>
      <w:pPr>
        <w:pStyle w:val="ListParagraph"/>
        <w:numPr>
          <w:ilvl w:val="0"/>
          <w:numId w:val="1"/>
        </w:numPr>
      </w:pPr>
      <w:r>
        <w:t xml:space="preserve">Geometry: △ ▽ ◇ ◯ ▲ ▼ ◆ ● ★ ☆</w:t>
      </w:r>
    </w:p>
    <w:p>
      <w:pPr>
        <w:pStyle w:val="ListParagraph"/>
        <w:numPr>
          <w:ilvl w:val="0"/>
          <w:numId w:val="1"/>
        </w:numPr>
      </w:pPr>
      <w:r>
        <w:t xml:space="preserve">Drawing: ─ │ ┌ ┐ └ ┘ ├ ┤ ┬ ┴ ┼ ━ ┃ ┏ ┓ ┗ ┛</w:t>
      </w:r>
    </w:p>
    <w:p>
      <w:pPr>
        <w:pStyle w:val="ListParagraph"/>
        <w:numPr>
          <w:ilvl w:val="0"/>
          <w:numId w:val="1"/>
        </w:numPr>
      </w:pPr>
      <w:r>
        <w:t xml:space="preserve">Music: ♩ ♪ ♫ ♬ ♭ ♮ ♯</w:t>
      </w:r>
    </w:p>
    <w:p>
      <w:pPr>
        <w:pStyle w:val="ListParagraph"/>
        <w:numPr>
          <w:ilvl w:val="0"/>
          <w:numId w:val="1"/>
        </w:numPr>
      </w:pPr>
      <w:r>
        <w:t xml:space="preserve">Misc: ™ © ® § ¶ † ‡ ‰ ‽ ⁂ ※</w:t>
      </w:r>
    </w:p>
    <w:p>
      <w:pPr>
        <w:pStyle w:val="Heading2"/>
      </w:pPr>
      <w:r>
        <w:t xml:space="preserve">Footnotes</w:t>
      </w:r>
    </w:p>
    <w:p>
      <w:pPr>
        <w:pStyle w:val="Normal"/>
      </w:pPr>
      <w:r>
        <w:t xml:space="preserve">Markdown footnotes are gathered per slide, not per deck — references stay near their definitions¹.</w:t>
      </w:r>
    </w:p>
    <w:p>
      <w:pPr>
        <w:pStyle w:val="Normal"/>
      </w:pPr>
      <w:r>
        <w:t xml:space="preserve">You can drop </w:t>
      </w:r>
      <w:r>
        <w:rPr>
          <w:i/>
        </w:rPr>
        <w:t xml:space="preserve">multiple</w:t>
      </w:r>
      <w:r>
        <w:t xml:space="preserve"> references on one slide² and md2any will collect their definitions at the bottom in source order³.</w:t>
      </w:r>
    </w:p>
    <w:p>
      <w:pPr>
        <w:pStyle w:val="Normal"/>
      </w:pPr>
      <w:r>
        <w:rPr>
          <w:rStyle w:val="MetaLabel"/>
        </w:rPr>
        <w:t>Notes</w:t>
      </w:r>
    </w:p>
    <w:p>
      <w:pPr>
        <w:pStyle w:val="Normal"/>
      </w:pPr>
      <w:r>
        <w:t xml:space="preserve">1. </w:t>
      </w:r>
      <w:r>
        <w:t xml:space="preserve">Useful when slides are rearranged: the footnote moves with the slide that owns it.</w:t>
      </w:r>
    </w:p>
    <w:p>
      <w:pPr>
        <w:pStyle w:val="Normal"/>
      </w:pPr>
      <w:r>
        <w:t xml:space="preserve">2. </w:t>
      </w:r>
      <w:r>
        <w:t xml:space="preserve">Numbered automatically; you write </w:t>
      </w:r>
      <w:r>
        <w:rPr>
          <w:rStyle w:val="InlineCode"/>
        </w:rPr>
        <w:t xml:space="preserve">[^id]</w:t>
      </w:r>
      <w:r>
        <w:t xml:space="preserve"> and md2any picks the superscript.</w:t>
      </w:r>
    </w:p>
    <w:p>
      <w:pPr>
        <w:pStyle w:val="Normal"/>
      </w:pPr>
      <w:r>
        <w:t xml:space="preserve">3. </w:t>
      </w:r>
      <w:r>
        <w:t xml:space="preserve">Same applies to PDF, DOCX, and ODT outputs — the footnote block follows the same per-slide grouping.</w:t>
      </w:r>
    </w:p>
    <w:p>
      <w:pPr>
        <w:pStyle w:val="Heading2"/>
      </w:pPr>
      <w:r>
        <w:t xml:space="preserve">Blockquotes</w:t>
      </w:r>
    </w:p>
    <w:p>
      <w:pPr>
        <w:pStyle w:val="Quote"/>
      </w:pPr>
      <w:r>
        <w:t xml:space="preserve">The best documentation is the kind you can hand to your future self at 2 a.m. and still understand.</w:t>
      </w:r>
    </w:p>
    <w:p>
      <w:pPr>
        <w:pStyle w:val="Quote"/>
      </w:pPr>
      <w:r>
        <w:t xml:space="preserve">"Plain text in, polished slides out" is the whole pitch. — </w:t>
      </w:r>
      <w:r>
        <w:rPr>
          <w:i/>
        </w:rPr>
        <w:t xml:space="preserve">md2any README</w:t>
      </w:r>
    </w:p>
    <w:p>
      <w:pPr>
        <w:pStyle w:val="Heading2"/>
      </w:pPr>
      <w:r>
        <w:t xml:space="preserve">Diagrams</w:t>
      </w:r>
    </w:p>
    <w:p>
      <w:pPr>
        <w:pStyle w:val="CodeBlock"/>
      </w:pPr>
      <w:r>
        <w:t xml:space="preserve">```dot</w:t>
      </w:r>
    </w:p>
    <w:p>
      <w:pPr>
        <w:pStyle w:val="CodeBlock"/>
      </w:pPr>
      <w:r>
        <w:t xml:space="preserve">digraph pipeline {</w:t>
      </w:r>
    </w:p>
    <w:p>
      <w:pPr>
        <w:pStyle w:val="CodeBlock"/>
      </w:pPr>
      <w:r>
        <w:t xml:space="preserve">  rankdir=LR;</w:t>
      </w:r>
    </w:p>
    <w:p>
      <w:pPr>
        <w:pStyle w:val="CodeBlock"/>
      </w:pPr>
      <w:r>
        <w:t xml:space="preserve">  node [shape=box, style=rounded];</w:t>
      </w:r>
    </w:p>
    <w:p>
      <w:pPr>
        <w:pStyle w:val="CodeBlock"/>
      </w:pPr>
      <w:r>
        <w:t xml:space="preserve">  Markdown -&gt; Parser -&gt; Paginator -&gt; Renderer -&gt; "{pptx, odp, pdf, docx, odt}";</w:t>
      </w:r>
    </w:p>
    <w:p>
      <w:pPr>
        <w:pStyle w:val="CodeBlock"/>
      </w:pPr>
      <w:r>
        <w:t xml:space="preserve">}</w:t>
      </w:r>
    </w:p>
    <w:p>
      <w:pPr>
        <w:pStyle w:val="CodeBlock"/>
      </w:pPr>
      <w:r>
        <w:t xml:space="preserve">```</w:t>
      </w:r>
    </w:p>
    <w:p>
      <w:pPr>
        <w:pStyle w:val="Normal"/>
      </w:pPr>
      <w:r>
        <w:t xml:space="preserve">If </w:t>
      </w:r>
      <w:r>
        <w:rPr>
          <w:rStyle w:val="InlineCode"/>
        </w:rPr>
        <w:t xml:space="preserve">dot</w:t>
      </w:r>
      <w:r>
        <w:t xml:space="preserve"> is on your </w:t>
      </w:r>
      <w:r>
        <w:rPr>
          <w:rStyle w:val="InlineCode"/>
        </w:rPr>
        <w:t xml:space="preserve">$PATH</w:t>
      </w:r>
      <w:r>
        <w:t xml:space="preserve">, this fence rasterises into a PNG embedded in the slide. Otherwise the fence stays as a regular code block. Same goes for </w:t>
      </w:r>
      <w:r>
        <w:rPr>
          <w:rStyle w:val="InlineCode"/>
        </w:rPr>
        <w:t xml:space="preserve">mermaid</w:t>
      </w:r>
      <w:r>
        <w:t xml:space="preserve"> and </w:t>
      </w:r>
      <w:r>
        <w:rPr>
          <w:rStyle w:val="InlineCode"/>
        </w:rPr>
        <w:t xml:space="preserve">plantuml</w:t>
      </w:r>
      <w:r>
        <w:t xml:space="preserve">.</w:t>
      </w:r>
    </w:p>
    <w:p>
      <w:pPr>
        <w:pStyle w:val="Heading2"/>
      </w:pPr>
      <w:r>
        <w:t xml:space="preserve">Speaker notes</w:t>
      </w:r>
    </w:p>
    <w:p>
      <w:pPr>
        <w:pStyle w:val="Normal"/>
      </w:pPr>
      <w:r>
        <w:t xml:space="preserve">The slide says one thing; the speaker says another. Attach private notes that surface in Presenter View (PPTX / ODP), the </w:t>
      </w:r>
      <w:r>
        <w:rPr>
          <w:rStyle w:val="InlineCode"/>
        </w:rPr>
        <w:t xml:space="preserve">--with-notes</w:t>
      </w:r>
      <w:r>
        <w:t xml:space="preserve"> PDF, but never on the visible slide.</w:t>
      </w:r>
    </w:p>
    <w:p>
      <w:pPr>
        <w:pStyle w:val="Normal"/>
      </w:pPr>
      <w:r>
        <w:rPr>
          <w:rStyle w:val="MetaLabel"/>
        </w:rPr>
        <w:t xml:space="preserve">markdown</w:t>
      </w:r>
    </w:p>
    <w:p>
      <w:pPr>
        <w:pStyle w:val="CodeBlock"/>
      </w:pPr>
      <w:r>
        <w:t xml:space="preserve">## A slide title</w:t>
      </w:r>
    </w:p>
    <w:p>
      <w:pPr>
        <w:pStyle w:val="CodeBlock"/>
      </w:pPr>
      <w:r>
        <w:t xml:space="preserve"/>
      </w:r>
    </w:p>
    <w:p>
      <w:pPr>
        <w:pStyle w:val="CodeBlock"/>
      </w:pPr>
      <w:r>
        <w:t xml:space="preserve">The audience sees this.</w:t>
      </w:r>
    </w:p>
    <w:p>
      <w:pPr>
        <w:pStyle w:val="CodeBlock"/>
      </w:pPr>
      <w:r>
        <w:t xml:space="preserve"/>
      </w:r>
    </w:p>
    <w:p>
      <w:pPr>
        <w:pStyle w:val="CodeBlock"/>
      </w:pPr>
      <w:r>
        <w:t xml:space="preserve">&lt;!-- notes: Remember to mention the Q3 numbers and pause for the</w:t>
      </w:r>
    </w:p>
    <w:p>
      <w:pPr>
        <w:pStyle w:val="CodeBlock"/>
      </w:pPr>
      <w:r>
        <w:t xml:space="preserve">     question about pricing. The CFO will ask. --&gt;</w:t>
      </w:r>
    </w:p>
    <w:p>
      <w:pPr>
        <w:pStyle w:val="Heading2"/>
      </w:pPr>
      <w:r>
        <w:t xml:space="preserve">Putting it all together</w:t>
      </w:r>
    </w:p>
    <w:p>
      <w:pPr>
        <w:pStyle w:val="Normal"/>
      </w:pPr>
      <w:r>
        <w:t xml:space="preserve">Markdown, math, code, tables, CJK, diagrams, footnotes, speaker notes — all from the same </w:t>
      </w:r>
      <w:r>
        <w:rPr>
          <w:rStyle w:val="InlineCode"/>
        </w:rPr>
        <w:t xml:space="preserve">.md</w:t>
      </w:r>
      <w:r>
        <w:t xml:space="preserve"> file, all in one binary, all rendered in milliseconds. The point isn't any one feature; it's that you only have to write the thing once.</w:t>
      </w:r>
    </w:p>
    <w:p>
      <w:pPr>
        <w:pStyle w:val="Heading1"/>
      </w:pPr>
      <w:r>
        <w:t xml:space="preserve">That's all</w:t>
      </w:r>
    </w:p>
    <w:p>
      <w:pPr>
        <w:pStyle w:val="Heading2"/>
      </w:pPr>
      <w:r>
        <w:t xml:space="preserve">Now go make something</w:t>
      </w:r>
    </w:p>
    <w:p>
      <w:pPr>
        <w:pStyle w:val="Normal"/>
      </w:pPr>
      <w:r>
        <w:t xml:space="preserve">Write Markdown. Run one command. Open the file. Present, send, print — whichever you need.</w:t>
      </w:r>
    </w:p>
    <w:p>
      <w:pPr>
        <w:pStyle w:val="Normal"/>
      </w:pPr>
      <w:r>
        <w:rPr>
          <w:rStyle w:val="MetaLabel"/>
        </w:rPr>
        <w:t xml:space="preserve">bash</w:t>
      </w:r>
    </w:p>
    <w:p>
      <w:pPr>
        <w:pStyle w:val="CodeBlock"/>
      </w:pPr>
      <w:r>
        <w:t xml:space="preserve">md2any my-talk.md</w:t>
      </w:r>
    </w:p>
    <w:p>
      <w:pPr>
        <w:pStyle w:val="Normal"/>
      </w:pPr>
      <w:r>
        <w:t xml:space="preserve">If you want to see this manual again in any format, just run:</w:t>
      </w:r>
    </w:p>
    <w:p>
      <w:pPr>
        <w:pStyle w:val="Normal"/>
      </w:pPr>
      <w:r>
        <w:rPr>
          <w:rStyle w:val="MetaLabel"/>
        </w:rPr>
        <w:t xml:space="preserve">bash</w:t>
      </w:r>
    </w:p>
    <w:p>
      <w:pPr>
        <w:pStyle w:val="CodeBlock"/>
      </w:pPr>
      <w:r>
        <w:t xml:space="preserve">md2any --help-pptx       # or --help-odp, --help-pdf, --help-docx, --help-odt, --help-md</w:t>
      </w:r>
    </w:p>
    <w:sectPr>
      <w:pgSz w:w="12240" w:h="15840"/>
      <w:pgMar w:top="1440" w:right="1440" w:bottom="1440" w:left="1440" w:header="720" w:footer="720" w:gutter="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bullet"/>
      <w:lvlText w:val="▫"/>
      <w:lvlJc w:val="left"/>
      <w:pPr>
        <w:ind w:left="1800" w:hanging="360"/>
      </w:pPr>
      <w:rPr>
        <w:rFonts w:ascii="Symbol" w:hAnsi="Symbol" w:hint="default"/>
      </w:rPr>
    </w:lvl>
  </w:abstractNum>
  <w:abstractNum w:abstractNumId="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abstractNum>
  <w:num w:numId="1">
    <w:abstractNumId w:val="0"/>
  </w:num>
  <w:num w:numId="2">
    <w:abstractNumId w:val="1"/>
  </w:num>
</w:numbering>
</file>

<file path=word/settings.xml><?xml version="1.0" encoding="utf-8"?>
<w:settings xmlns:w="http://schemas.openxmlformats.org/wordprocessingml/2006/main">
  <w:zoom w:percent="100"/>
  <w:defaultTabStop w:val="720"/>
  <w:characterSpacingControl w:val="doNotCompress"/>
</w:settings>
</file>

<file path=word/styles.xml><?xml version="1.0" encoding="utf-8"?>
<w:styles xmlns:w="http://schemas.openxmlformats.org/wordprocessingml/2006/main">
  <w:docDefaults>
    <w:rPrDefault>
      <w:rPr>
        <w:rFonts w:ascii="Calibri" w:hAnsi="Calibri"/>
        <w:sz w:val="22"/>
        <w:color w:val="334155"/>
      </w:rPr>
    </w:rPrDefault>
    <w:pPrDefault>
      <w:pPr>
        <w:spacing w:before="80" w:after="80" w:line="288" w:lineRule="auto"/>
      </w:pPr>
    </w:pPrDefault>
  </w:docDefaults>
  <w:style w:type="paragraph" w:default="1" w:styleId="Normal">
    <w:name w:val="Normal"/>
  </w:style>
  <w:style w:type="paragraph" w:styleId="Title">
    <w:name w:val="Title"/>
    <w:basedOn w:val="Normal"/>
    <w:pPr>
      <w:spacing w:before="720" w:after="200"/>
      <w:jc w:val="center"/>
    </w:pPr>
    <w:rPr>
      <w:rFonts w:ascii="Calibri Light" w:hAnsi="Calibri Light"/>
      <w:b/>
      <w:sz w:val="64"/>
      <w:color w:val="0F172A"/>
    </w:rPr>
  </w:style>
  <w:style w:type="paragraph" w:styleId="Subtitle">
    <w:name w:val="Subtitle"/>
    <w:basedOn w:val="Normal"/>
    <w:pPr>
      <w:spacing w:before="120" w:after="240"/>
      <w:jc w:val="center"/>
    </w:pPr>
    <w:rPr>
      <w:i/>
      <w:sz w:val="28"/>
      <w:color w:val="94A3B8"/>
    </w:rPr>
  </w:style>
  <w:style w:type="paragraph" w:styleId="Heading1">
    <w:name w:val="heading 1"/>
    <w:basedOn w:val="Normal"/>
    <w:next w:val="Normal"/>
    <w:pPr>
      <w:pageBreakBefore/>
      <w:spacing w:before="240" w:after="200"/>
      <w:outlineLvl w:val="0"/>
    </w:pPr>
    <w:rPr>
      <w:rFonts w:ascii="Calibri Light" w:hAnsi="Calibri Light"/>
      <w:b/>
      <w:sz w:val="44"/>
      <w:color w:val="0F172A"/>
    </w:rPr>
  </w:style>
  <w:style w:type="paragraph" w:styleId="Heading2">
    <w:name w:val="heading 2"/>
    <w:basedOn w:val="Normal"/>
    <w:next w:val="Normal"/>
    <w:pPr>
      <w:spacing w:before="320" w:after="120"/>
      <w:outlineLvl w:val="1"/>
    </w:pPr>
    <w:rPr>
      <w:rFonts w:ascii="Calibri Light" w:hAnsi="Calibri Light"/>
      <w:b/>
      <w:sz w:val="32"/>
      <w:color w:val="0F172A"/>
    </w:rPr>
  </w:style>
  <w:style w:type="paragraph" w:styleId="Heading3">
    <w:name w:val="heading 3"/>
    <w:basedOn w:val="Normal"/>
    <w:next w:val="Normal"/>
    <w:pPr>
      <w:spacing w:before="200" w:after="100"/>
      <w:outlineLvl w:val="2"/>
    </w:pPr>
    <w:rPr>
      <w:b/>
      <w:sz w:val="26"/>
      <w:color w:val="0F172A"/>
    </w:rPr>
  </w:style>
  <w:style w:type="paragraph" w:styleId="CodeBlock">
    <w:name w:val="Code"/>
    <w:basedOn w:val="Normal"/>
    <w:pPr>
      <w:spacing w:before="40" w:after="40" w:line="240" w:lineRule="auto"/>
      <w:shd w:val="clear" w:color="auto" w:fill="F1F5F9"/>
      <w:ind w:left="200" w:right="200"/>
    </w:pPr>
    <w:rPr>
      <w:rFonts w:ascii="Consolas" w:hAnsi="Consolas" w:cs="Consolas"/>
      <w:sz w:val="20"/>
      <w:color w:val="1E293B"/>
    </w:rPr>
  </w:style>
  <w:style w:type="paragraph" w:styleId="Quote">
    <w:name w:val="Quote"/>
    <w:basedOn w:val="Normal"/>
    <w:pPr>
      <w:ind w:left="600"/>
      <w:pBdr>
        <w:left w:val="single" w:sz="18" w:space="8" w:color="0EA5E9"/>
      </w:pBdr>
    </w:pPr>
    <w:rPr>
      <w:i/>
      <w:color w:val="94A3B8"/>
    </w:rPr>
  </w:style>
  <w:style w:type="paragraph" w:styleId="ListParagraph">
    <w:name w:val="List Paragraph"/>
    <w:basedOn w:val="Normal"/>
    <w:pPr>
      <w:spacing w:before="40" w:after="40"/>
      <w:ind w:left="720"/>
      <w:contextualSpacing/>
    </w:pPr>
  </w:style>
  <w:style w:type="character" w:styleId="Hyperlink">
    <w:name w:val="Hyperlink"/>
    <w:rPr>
      <w:color w:val="0EA5E9"/>
      <w:u w:val="single"/>
    </w:rPr>
  </w:style>
  <w:style w:type="character" w:styleId="InlineCode">
    <w:name w:val="InlineCode"/>
    <w:rPr>
      <w:rFonts w:ascii="Consolas" w:hAnsi="Consolas"/>
      <w:color w:val="0369A1"/>
      <w:shd w:val="clear" w:color="auto" w:fill="F1F5F9"/>
    </w:rPr>
  </w:style>
  <w:style w:type="character" w:styleId="MetaLabel">
    <w:name w:val="MetaLabel"/>
    <w:rPr>
      <w:rFonts w:ascii="Consolas" w:hAnsi="Consolas"/>
      <w:sz w:val="18"/>
      <w:color w:val="94A3B8"/>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hyperlink" Target="https://example.com" TargetMode="External"/>
</Relationships>
</file>

<file path=docProps/app.xml><?xml version="1.0" encoding="utf-8"?>
<Properties xmlns="http://schemas.openxmlformats.org/officeDocument/2006/extended-properties">
  <Application>md2any</Application>
  <Pages>136</Pages>
</Properties>
</file>

<file path=docProps/core.xml><?xml version="1.0" encoding="utf-8"?>
<cp:coreProperties xmlns:cp="http://schemas.openxmlformats.org/package/2006/metadata/core-properties" xmlns:dc="http://purl.org/dc/elements/1.1/" xmlns:dcterms="http://purl.org/dc/terms/" xmlns:xsi="http://www.w3.org/2001/XMLSchema-instance">
  <dc:title>md2any</dc:title>
  <dc:creator>md2any --help</dc:creator>
</cp:coreProperties>
</file>