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Quarterly Performance Report</w:t>
      </w:r>
    </w:p>
    <w:p>
      <w:pPr>
        <w:pStyle w:val="Heading1"/>
      </w:pPr>
      <w:r>
        <w:t>Executive Summary</w:t>
      </w:r>
    </w:p>
    <w:p>
      <w:r>
        <w:t>This report covers Q3 2025 performance across all departments. Revenue exceeded targets by 12% while costs remained within budget. Key metrics show sustained growth momentum.</w:t>
      </w:r>
    </w:p>
    <w:p>
      <w:pPr>
        <w:pStyle w:val="Heading1"/>
      </w:pPr>
      <w:r>
        <w:t>Financial Overview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Department</w:t>
            </w:r>
          </w:p>
        </w:tc>
        <w:tc>
          <w:tcPr>
            <w:tcW w:type="dxa" w:w="2160"/>
          </w:tcPr>
          <w:p>
            <w:r>
              <w:t>Q1 Revenue</w:t>
            </w:r>
          </w:p>
        </w:tc>
        <w:tc>
          <w:tcPr>
            <w:tcW w:type="dxa" w:w="2160"/>
          </w:tcPr>
          <w:p>
            <w:r>
              <w:t>Q2 Revenue</w:t>
            </w:r>
          </w:p>
        </w:tc>
        <w:tc>
          <w:tcPr>
            <w:tcW w:type="dxa" w:w="2160"/>
          </w:tcPr>
          <w:p>
            <w:r>
              <w:t>Q3 Revenue</w:t>
            </w:r>
          </w:p>
        </w:tc>
      </w:tr>
      <w:tr>
        <w:tc>
          <w:tcPr>
            <w:tcW w:type="dxa" w:w="2160"/>
          </w:tcPr>
          <w:p>
            <w:r>
              <w:t>Engineering</w:t>
            </w:r>
          </w:p>
        </w:tc>
        <w:tc>
          <w:tcPr>
            <w:tcW w:type="dxa" w:w="2160"/>
          </w:tcPr>
          <w:p>
            <w:r>
              <w:t>$2.1M</w:t>
            </w:r>
          </w:p>
        </w:tc>
        <w:tc>
          <w:tcPr>
            <w:tcW w:type="dxa" w:w="2160"/>
          </w:tcPr>
          <w:p>
            <w:r>
              <w:t>$2.3M</w:t>
            </w:r>
          </w:p>
        </w:tc>
        <w:tc>
          <w:tcPr>
            <w:tcW w:type="dxa" w:w="2160"/>
          </w:tcPr>
          <w:p>
            <w:r>
              <w:t>$2.8M</w:t>
            </w:r>
          </w:p>
        </w:tc>
      </w:tr>
      <w:tr>
        <w:tc>
          <w:tcPr>
            <w:tcW w:type="dxa" w:w="2160"/>
          </w:tcPr>
          <w:p>
            <w:r>
              <w:t>Sales</w:t>
            </w:r>
          </w:p>
        </w:tc>
        <w:tc>
          <w:tcPr>
            <w:tcW w:type="dxa" w:w="2160"/>
          </w:tcPr>
          <w:p>
            <w:r>
              <w:t>$4.5M</w:t>
            </w:r>
          </w:p>
        </w:tc>
        <w:tc>
          <w:tcPr>
            <w:tcW w:type="dxa" w:w="2160"/>
          </w:tcPr>
          <w:p>
            <w:r>
              <w:t>$4.8M</w:t>
            </w:r>
          </w:p>
        </w:tc>
        <w:tc>
          <w:tcPr>
            <w:tcW w:type="dxa" w:w="2160"/>
          </w:tcPr>
          <w:p>
            <w:r>
              <w:t>$5.2M</w:t>
            </w:r>
          </w:p>
        </w:tc>
      </w:tr>
      <w:tr>
        <w:tc>
          <w:tcPr>
            <w:tcW w:type="dxa" w:w="2160"/>
          </w:tcPr>
          <w:p>
            <w:r>
              <w:t>Marketing</w:t>
            </w:r>
          </w:p>
        </w:tc>
        <w:tc>
          <w:tcPr>
            <w:tcW w:type="dxa" w:w="2160"/>
          </w:tcPr>
          <w:p>
            <w:r>
              <w:t>$1.2M</w:t>
            </w:r>
          </w:p>
        </w:tc>
        <w:tc>
          <w:tcPr>
            <w:tcW w:type="dxa" w:w="2160"/>
          </w:tcPr>
          <w:p>
            <w:r>
              <w:t>$1.1M</w:t>
            </w:r>
          </w:p>
        </w:tc>
        <w:tc>
          <w:tcPr>
            <w:tcW w:type="dxa" w:w="2160"/>
          </w:tcPr>
          <w:p>
            <w:r>
              <w:t>$1.4M</w:t>
            </w:r>
          </w:p>
        </w:tc>
      </w:tr>
      <w:tr>
        <w:tc>
          <w:tcPr>
            <w:tcW w:type="dxa" w:w="2160"/>
          </w:tcPr>
          <w:p>
            <w:r>
              <w:t>Operations</w:t>
            </w:r>
          </w:p>
        </w:tc>
        <w:tc>
          <w:tcPr>
            <w:tcW w:type="dxa" w:w="2160"/>
          </w:tcPr>
          <w:p>
            <w:r>
              <w:t>$0.8M</w:t>
            </w:r>
          </w:p>
        </w:tc>
        <w:tc>
          <w:tcPr>
            <w:tcW w:type="dxa" w:w="2160"/>
          </w:tcPr>
          <w:p>
            <w:r>
              <w:t>$0.9M</w:t>
            </w:r>
          </w:p>
        </w:tc>
        <w:tc>
          <w:tcPr>
            <w:tcW w:type="dxa" w:w="2160"/>
          </w:tcPr>
          <w:p>
            <w:r>
              <w:t>$0.95M</w:t>
            </w:r>
          </w:p>
        </w:tc>
      </w:tr>
    </w:tbl>
    <w:p>
      <w:pPr>
        <w:pStyle w:val="Heading2"/>
      </w:pPr>
      <w:r>
        <w:t>Key Achievements</w:t>
      </w:r>
    </w:p>
    <w:p>
      <w:pPr>
        <w:pStyle w:val="ListNumber"/>
      </w:pPr>
      <w:r>
        <w:t>Launched Project Aurora ahead of schedule</w:t>
      </w:r>
    </w:p>
    <w:p>
      <w:pPr>
        <w:pStyle w:val="ListNumber"/>
      </w:pPr>
      <w:r>
        <w:t>Reduced customer churn by 15%</w:t>
      </w:r>
    </w:p>
    <w:p>
      <w:pPr>
        <w:pStyle w:val="ListNumber"/>
      </w:pPr>
      <w:r>
        <w:t>Expanded into 3 new markets</w:t>
      </w:r>
    </w:p>
    <w:p>
      <w:pPr>
        <w:pStyle w:val="ListBullet2"/>
      </w:pPr>
      <w:r>
        <w:t>Southeast Asia</w:t>
      </w:r>
    </w:p>
    <w:p>
      <w:pPr>
        <w:pStyle w:val="ListBullet2"/>
      </w:pPr>
      <w:r>
        <w:t>Eastern Europe</w:t>
      </w:r>
    </w:p>
    <w:p>
      <w:pPr>
        <w:pStyle w:val="ListBullet2"/>
      </w:pPr>
      <w:r>
        <w:t>South America</w:t>
      </w:r>
    </w:p>
    <w:p>
      <w:pPr>
        <w:pStyle w:val="ListNumber"/>
      </w:pPr>
      <w:r>
        <w:t>Hired 45 new engineers across all offices</w:t>
      </w:r>
    </w:p>
    <w:p>
      <w:r>
        <w:t>The following table shows cost allocation across departments. Note that merged cells indicate shared budget lines.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Category</w:t>
            </w:r>
          </w:p>
        </w:tc>
        <w:tc>
          <w:tcPr>
            <w:tcW w:type="dxa" w:w="2880"/>
          </w:tcPr>
          <w:p>
            <w:r>
              <w:t>Sub-Category</w:t>
            </w:r>
          </w:p>
        </w:tc>
        <w:tc>
          <w:tcPr>
            <w:tcW w:type="dxa" w:w="2880"/>
          </w:tcPr>
          <w:p>
            <w:r>
              <w:t>Amount</w:t>
            </w:r>
          </w:p>
        </w:tc>
      </w:tr>
      <w:tr>
        <w:tc>
          <w:tcPr>
            <w:tcW w:type="dxa" w:w="2880"/>
            <w:vMerge w:val="restart"/>
          </w:tcPr>
          <w:p>
            <w:r>
              <w:t>Personnel</w:t>
            </w:r>
          </w:p>
          <w:p>
            <w:r/>
          </w:p>
        </w:tc>
        <w:tc>
          <w:tcPr>
            <w:tcW w:type="dxa" w:w="2880"/>
          </w:tcPr>
          <w:p>
            <w:r>
              <w:t>Salaries</w:t>
            </w:r>
          </w:p>
        </w:tc>
        <w:tc>
          <w:tcPr>
            <w:tcW w:type="dxa" w:w="2880"/>
          </w:tcPr>
          <w:p>
            <w:r>
              <w:t>$3.2M</w:t>
            </w:r>
          </w:p>
        </w:tc>
      </w:tr>
      <w:tr>
        <w:tc>
          <w:tcPr>
            <w:tcW w:type="dxa" w:w="2880"/>
            <w:vMerge/>
          </w:tcPr>
          <w:p/>
        </w:tc>
        <w:tc>
          <w:tcPr>
            <w:tcW w:type="dxa" w:w="2880"/>
          </w:tcPr>
          <w:p>
            <w:r>
              <w:t>Benefits</w:t>
            </w:r>
          </w:p>
        </w:tc>
        <w:tc>
          <w:tcPr>
            <w:tcW w:type="dxa" w:w="2880"/>
          </w:tcPr>
          <w:p>
            <w:r>
              <w:t>$0.8M</w:t>
            </w:r>
          </w:p>
        </w:tc>
      </w:tr>
      <w:tr>
        <w:tc>
          <w:tcPr>
            <w:tcW w:type="dxa" w:w="2880"/>
          </w:tcPr>
          <w:p>
            <w:r>
              <w:t>Infrastructure</w:t>
            </w:r>
          </w:p>
        </w:tc>
        <w:tc>
          <w:tcPr>
            <w:tcW w:type="dxa" w:w="2880"/>
          </w:tcPr>
          <w:p>
            <w:r>
              <w:t>Cloud Services</w:t>
            </w:r>
          </w:p>
        </w:tc>
        <w:tc>
          <w:tcPr>
            <w:tcW w:type="dxa" w:w="2880"/>
          </w:tcPr>
          <w:p>
            <w:r>
              <w:t>$0.5M</w:t>
            </w:r>
          </w:p>
        </w:tc>
      </w:tr>
    </w:tbl>
    <w:p>
      <w:pPr>
        <w:pStyle w:val="Heading1"/>
      </w:pPr>
      <w:r>
        <w:t>Risk Assessment</w:t>
      </w:r>
    </w:p>
    <w:p>
      <w:r>
        <w:t>Several risks were identified during the quarter. The risk register has been updated accordingly.</w:t>
      </w:r>
    </w:p>
    <w:p>
      <w:r>
        <w:rPr>
          <w:b/>
          <w:color w:val="FF0000"/>
        </w:rPr>
        <w:t xml:space="preserve">IMPORTANT DISCLAIMER: </w:t>
      </w:r>
      <w:r>
        <w:t>This report contains forward-looking statements that involve risks and uncertainties. Actual results may differ materially from those projected. Past performance does not guarantee future results.</w:t>
      </w:r>
    </w:p>
    <w:p>
      <w:pPr>
        <w:pStyle w:val="Heading2"/>
      </w:pPr>
      <w:r>
        <w:t>Mitigation Strategies</w:t>
      </w:r>
    </w:p>
    <w:p>
      <w:r>
        <w:t>The mitigation strategy for supply chain disruptions involves a multi-layered approach that combines geographic diversification of suppliers, strategic inventory buffering at key distribution nodes, and real-time monitoring through our proprietary supply chain visibility platform. The mitigation strategy for supply chain disruptions involves a multi-layered approach that combines geographic diversification of suppliers, strategic inventory buffering at key distribution nodes, and real-time monitoring through our proprietary supply chain visibility platform. The mitigation strategy for supply chain disruptions involves a multi-layered approach that combines geographic diversification of suppliers, strategic inventory buffering at key distribution nodes, and real-time monitoring through our proprietary supply chain visibility platform. The mitigation strategy for supply chain disruptions involves a multi-layered approach that combines geographic diversification of suppliers, strategic inventory buffering at key distribution nodes, and real-time monitoring through our proprietary supply chain visibility platform. The mitigation strategy for supply chain disruptions involves a multi-layered approach that combines geographic diversification of suppliers, strategic inventory buffering at key distribution nodes, and real-time monitoring through our proprietary supply chain visibility platform. The mitigation strategy for supply chain disruptions involves a multi-layered approach that combines geographic diversification of suppliers, strategic inventory buffering at key distribution nodes, and real-time monitoring through our proprietary supply chain visibility platform. The mitigation strategy for supply chain disruptions involves a multi-layered approach that combines geographic diversification of suppliers, strategic inventory buffering at key distribution nodes, and real-time monitoring through our proprietary supply chain visibility platform. The mitigation strategy for supply chain disruptions involves a multi-layered approach that combines geographic diversification of suppliers, strategic inventory buffering at key distribution nodes, and real-time monitoring through our proprietary supply chain visibility platform.</w:t>
      </w:r>
    </w:p>
    <w:p>
      <w:pPr>
        <w:pStyle w:val="Heading2"/>
      </w:pPr>
      <w:r>
        <w:t>Risk Matrix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Risk</w:t>
            </w:r>
          </w:p>
        </w:tc>
        <w:tc>
          <w:tcPr>
            <w:tcW w:type="dxa" w:w="2160"/>
          </w:tcPr>
          <w:p>
            <w:r>
              <w:t>Probability</w:t>
            </w:r>
          </w:p>
        </w:tc>
        <w:tc>
          <w:tcPr>
            <w:tcW w:type="dxa" w:w="2160"/>
          </w:tcPr>
          <w:p>
            <w:r>
              <w:t>Impact</w:t>
            </w:r>
          </w:p>
        </w:tc>
        <w:tc>
          <w:tcPr>
            <w:tcW w:type="dxa" w:w="2160"/>
          </w:tcPr>
          <w:p>
            <w:r>
              <w:t>Owner</w:t>
            </w:r>
          </w:p>
        </w:tc>
      </w:tr>
      <w:tr>
        <w:tc>
          <w:tcPr>
            <w:tcW w:type="dxa" w:w="2160"/>
          </w:tcPr>
          <w:p>
            <w:r>
              <w:t>Supply chain disruption</w:t>
            </w:r>
          </w:p>
        </w:tc>
        <w:tc>
          <w:tcPr>
            <w:tcW w:type="dxa" w:w="2160"/>
          </w:tcPr>
          <w:p>
            <w:r>
              <w:t>Medium</w:t>
            </w:r>
          </w:p>
        </w:tc>
        <w:tc>
          <w:tcPr>
            <w:tcW w:type="dxa" w:w="2160"/>
          </w:tcPr>
          <w:p>
            <w:r>
              <w:t>High</w:t>
            </w:r>
          </w:p>
        </w:tc>
        <w:tc>
          <w:tcPr>
            <w:tcW w:type="dxa" w:w="2160"/>
          </w:tcPr>
          <w:p>
            <w:r>
              <w:t>VP Operations</w:t>
            </w:r>
          </w:p>
        </w:tc>
      </w:tr>
      <w:tr>
        <w:tc>
          <w:tcPr>
            <w:tcW w:type="dxa" w:w="2160"/>
          </w:tcPr>
          <w:p>
            <w:r>
              <w:t>Talent attrition</w:t>
            </w:r>
          </w:p>
        </w:tc>
        <w:tc>
          <w:tcPr>
            <w:tcW w:type="dxa" w:w="2160"/>
          </w:tcPr>
          <w:p>
            <w:r>
              <w:t>Low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Regulatory changes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>
              <w:t>Medium</w:t>
            </w:r>
          </w:p>
        </w:tc>
        <w:tc>
          <w:tcPr>
            <w:tcW w:type="dxa" w:w="2160"/>
          </w:tcPr>
          <w:p>
            <w:r>
              <w:t>Legal</w:t>
            </w:r>
          </w:p>
        </w:tc>
      </w:tr>
    </w:tbl>
    <w:p>
      <w:pPr>
        <w:pStyle w:val="Heading1"/>
      </w:pPr>
      <w:r>
        <w:t>Next Steps</w:t>
      </w:r>
    </w:p>
    <w:p>
      <w:r>
        <w:t>Review and approve the Q4 budget proposal by October 15th.</w:t>
      </w:r>
    </w:p>
    <w:p>
      <w:r>
        <w:t>Schedule all-hands meeting to communicate strategic direction.</w:t>
      </w:r>
    </w:p>
    <w:p>
      <w:r>
        <w:t>Finalize vendor contracts for the new cloud infrastructure migration.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