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Project Status Report</w:t>
      </w:r>
    </w:p>
    <w:p>
      <w:r>
        <w:t>This document provides an overview of the current project status, including milestones achieved, outstanding risks, and next steps. It is intended for distribution to all stakeholders.</w:t>
      </w:r>
    </w:p>
    <w:p>
      <w:pPr>
        <w:pStyle w:val="Heading1"/>
      </w:pPr>
      <w:r>
        <w:t>Executive Summary</w:t>
      </w:r>
    </w:p>
    <w:p>
      <w:r>
        <w:t>The project is on track for the June 2026 delivery date. All critical path items have been completed or are in progress. Budget utilization stands at seventy-three percent with no overruns.</w:t>
      </w:r>
    </w:p>
    <w:p>
      <w:r>
        <w:t>Two minor risks have been identified related to third-party API stability and team availability during the summer period. Mitigation plans are in place for both.</w:t>
      </w:r>
    </w:p>
    <w:p>
      <w:pPr>
        <w:pStyle w:val="Heading1"/>
      </w:pPr>
      <w:r>
        <w:t>Milestones Completed</w:t>
      </w:r>
    </w:p>
    <w:p>
      <w:pPr>
        <w:pStyle w:val="ListBullet"/>
      </w:pPr>
      <w:r>
        <w:t>Requirements finalization and stakeholder sign-off</w:t>
      </w:r>
    </w:p>
    <w:p>
      <w:pPr>
        <w:pStyle w:val="ListBullet"/>
      </w:pPr>
      <w:r>
        <w:t>Core API implementation and unit test coverage above ninety percent</w:t>
      </w:r>
    </w:p>
    <w:p>
      <w:pPr>
        <w:pStyle w:val="ListBullet"/>
      </w:pPr>
      <w:r>
        <w:t>Database schema migration for multi-tenant support</w:t>
      </w:r>
    </w:p>
    <w:p>
      <w:pPr>
        <w:pStyle w:val="ListBullet"/>
      </w:pPr>
      <w:r>
        <w:t>Security audit passed with zero critical findings</w:t>
      </w:r>
    </w:p>
    <w:p>
      <w:pPr>
        <w:pStyle w:val="ListBullet"/>
      </w:pPr>
      <w:r>
        <w:t>Performance benchmarks meeting all SLA targets</w:t>
      </w:r>
    </w:p>
    <w:p>
      <w:pPr>
        <w:pStyle w:val="Heading1"/>
      </w:pPr>
      <w:r>
        <w:t>Budget Breakdown</w:t>
      </w:r>
    </w:p>
    <w:p>
      <w:r>
        <w:t>The following table summarizes budget allocation across work streams.</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tcPr>
          <w:p>
            <w:r>
              <w:t>Work Stream</w:t>
            </w:r>
          </w:p>
        </w:tc>
        <w:tc>
          <w:tcPr>
            <w:tcW w:type="dxa" w:w="2160"/>
          </w:tcPr>
          <w:p>
            <w:r>
              <w:t>Allocated ($K)</w:t>
            </w:r>
          </w:p>
        </w:tc>
        <w:tc>
          <w:tcPr>
            <w:tcW w:type="dxa" w:w="2160"/>
          </w:tcPr>
          <w:p>
            <w:r>
              <w:t>Spent ($K)</w:t>
            </w:r>
          </w:p>
        </w:tc>
        <w:tc>
          <w:tcPr>
            <w:tcW w:type="dxa" w:w="2160"/>
          </w:tcPr>
          <w:p>
            <w:r>
              <w:t>Remaining ($K)</w:t>
            </w:r>
          </w:p>
        </w:tc>
      </w:tr>
      <w:tr>
        <w:tc>
          <w:tcPr>
            <w:tcW w:type="dxa" w:w="2160"/>
          </w:tcPr>
          <w:p>
            <w:r>
              <w:t>Development</w:t>
            </w:r>
          </w:p>
        </w:tc>
        <w:tc>
          <w:tcPr>
            <w:tcW w:type="dxa" w:w="2160"/>
          </w:tcPr>
          <w:p>
            <w:r>
              <w:t>450</w:t>
            </w:r>
          </w:p>
        </w:tc>
        <w:tc>
          <w:tcPr>
            <w:tcW w:type="dxa" w:w="2160"/>
          </w:tcPr>
          <w:p>
            <w:r>
              <w:t>310</w:t>
            </w:r>
          </w:p>
        </w:tc>
        <w:tc>
          <w:tcPr>
            <w:tcW w:type="dxa" w:w="2160"/>
          </w:tcPr>
          <w:p>
            <w:r>
              <w:t>140</w:t>
            </w:r>
          </w:p>
        </w:tc>
      </w:tr>
      <w:tr>
        <w:tc>
          <w:tcPr>
            <w:tcW w:type="dxa" w:w="2160"/>
          </w:tcPr>
          <w:p>
            <w:r>
              <w:t>Infrastructure</w:t>
            </w:r>
          </w:p>
        </w:tc>
        <w:tc>
          <w:tcPr>
            <w:tcW w:type="dxa" w:w="2160"/>
          </w:tcPr>
          <w:p>
            <w:r>
              <w:t>200</w:t>
            </w:r>
          </w:p>
        </w:tc>
        <w:tc>
          <w:tcPr>
            <w:tcW w:type="dxa" w:w="2160"/>
          </w:tcPr>
          <w:p>
            <w:r>
              <w:t>165</w:t>
            </w:r>
          </w:p>
        </w:tc>
        <w:tc>
          <w:tcPr>
            <w:tcW w:type="dxa" w:w="2160"/>
          </w:tcPr>
          <w:p>
            <w:r>
              <w:t>35</w:t>
            </w:r>
          </w:p>
        </w:tc>
      </w:tr>
      <w:tr>
        <w:tc>
          <w:tcPr>
            <w:tcW w:type="dxa" w:w="2160"/>
          </w:tcPr>
          <w:p>
            <w:r>
              <w:t>Testing &amp; QA</w:t>
            </w:r>
          </w:p>
        </w:tc>
        <w:tc>
          <w:tcPr>
            <w:tcW w:type="dxa" w:w="2160"/>
          </w:tcPr>
          <w:p>
            <w:r>
              <w:t>150</w:t>
            </w:r>
          </w:p>
        </w:tc>
        <w:tc>
          <w:tcPr>
            <w:tcW w:type="dxa" w:w="2160"/>
          </w:tcPr>
          <w:p>
            <w:r>
              <w:t>95</w:t>
            </w:r>
          </w:p>
        </w:tc>
        <w:tc>
          <w:tcPr>
            <w:tcW w:type="dxa" w:w="2160"/>
          </w:tcPr>
          <w:p>
            <w:r>
              <w:t>55</w:t>
            </w:r>
          </w:p>
        </w:tc>
      </w:tr>
      <w:tr>
        <w:tc>
          <w:tcPr>
            <w:tcW w:type="dxa" w:w="2160"/>
          </w:tcPr>
          <w:p>
            <w:r>
              <w:t>Project Management</w:t>
            </w:r>
          </w:p>
        </w:tc>
        <w:tc>
          <w:tcPr>
            <w:tcW w:type="dxa" w:w="2160"/>
          </w:tcPr>
          <w:p>
            <w:r>
              <w:t>100</w:t>
            </w:r>
          </w:p>
        </w:tc>
        <w:tc>
          <w:tcPr>
            <w:tcW w:type="dxa" w:w="2160"/>
          </w:tcPr>
          <w:p>
            <w:r>
              <w:t>78</w:t>
            </w:r>
          </w:p>
        </w:tc>
        <w:tc>
          <w:tcPr>
            <w:tcW w:type="dxa" w:w="2160"/>
          </w:tcPr>
          <w:p>
            <w:r>
              <w:t>22</w:t>
            </w:r>
          </w:p>
        </w:tc>
      </w:tr>
    </w:tbl>
    <w:p>
      <w:pPr>
        <w:pStyle w:val="Heading2"/>
      </w:pPr>
      <w:r>
        <w:t>Risk Register</w:t>
      </w:r>
    </w:p>
    <w:p>
      <w:r>
        <w:t>Risk items are tracked in the central risk register. The two open items are rated as medium severity and have assigned owners. Weekly review meetings ensure timely escalation if severity increases.</w:t>
      </w:r>
    </w:p>
    <w:p>
      <w:pPr>
        <w:pStyle w:val="Heading1"/>
      </w:pPr>
      <w:r>
        <w:t>Next Steps</w:t>
      </w:r>
    </w:p>
    <w:p>
      <w:r>
        <w:t>The team will begin the integration testing phase next week. A full regression suite will run over the weekend, with results available by Monday morning. The go/no-go decision for production deployment is scheduled for June fifteenth.</w:t>
      </w:r>
    </w:p>
    <w:p>
      <w:r>
        <w:t>End of report. Contact the project manager for questions or clarifications.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